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EF1" w:rsidRDefault="00656B30" w:rsidP="00F92EF1">
      <w:r>
        <w:pict>
          <v:rect id="_x0000_i1025" style="width:0;height:1.5pt" o:hralign="center" o:hrstd="t" o:hr="t" fillcolor="#a0a0a0" stroked="f"/>
        </w:pict>
      </w:r>
    </w:p>
    <w:p w:rsidR="00F92EF1" w:rsidRDefault="00F92EF1" w:rsidP="00F92EF1">
      <w:pPr>
        <w:pStyle w:val="Heading2"/>
      </w:pPr>
      <w:r>
        <w:rPr>
          <w:rStyle w:val="Strong"/>
          <w:b/>
          <w:bCs/>
        </w:rPr>
        <w:t>Section 1 – Economic Operator Information</w:t>
      </w:r>
    </w:p>
    <w:p w:rsidR="00F92EF1" w:rsidRDefault="00F92EF1" w:rsidP="00F92EF1">
      <w:pPr>
        <w:pStyle w:val="NormalWeb"/>
      </w:pPr>
      <w:r>
        <w:t>List all economic operators involved in manufacturing, importing, and placing the product on the EU market.</w:t>
      </w:r>
    </w:p>
    <w:p w:rsidR="00F92EF1" w:rsidRDefault="00F92EF1" w:rsidP="00F92EF1">
      <w:pPr>
        <w:pStyle w:val="NormalWeb"/>
      </w:pPr>
      <w:r>
        <w:rPr>
          <w:rStyle w:val="Strong"/>
        </w:rPr>
        <w:t>Manufacturer</w:t>
      </w:r>
    </w:p>
    <w:p w:rsidR="00F92EF1" w:rsidRDefault="00F92EF1" w:rsidP="00F92EF1">
      <w:pPr>
        <w:pStyle w:val="NormalWeb"/>
        <w:numPr>
          <w:ilvl w:val="0"/>
          <w:numId w:val="15"/>
        </w:numPr>
      </w:pPr>
      <w:r>
        <w:t>Name: [Insert Name]</w:t>
      </w:r>
    </w:p>
    <w:p w:rsidR="00F92EF1" w:rsidRDefault="00F92EF1" w:rsidP="00F92EF1">
      <w:pPr>
        <w:pStyle w:val="NormalWeb"/>
        <w:numPr>
          <w:ilvl w:val="0"/>
          <w:numId w:val="15"/>
        </w:numPr>
      </w:pPr>
      <w:r>
        <w:t>Trade Name / Trademark: [Insert Trade Name]</w:t>
      </w:r>
    </w:p>
    <w:p w:rsidR="00F92EF1" w:rsidRDefault="00F92EF1" w:rsidP="00F92EF1">
      <w:pPr>
        <w:pStyle w:val="NormalWeb"/>
        <w:numPr>
          <w:ilvl w:val="0"/>
          <w:numId w:val="15"/>
        </w:numPr>
      </w:pPr>
      <w:r>
        <w:t>Full Address: [Insert Address]</w:t>
      </w:r>
    </w:p>
    <w:p w:rsidR="00F92EF1" w:rsidRDefault="00F92EF1" w:rsidP="00F92EF1">
      <w:pPr>
        <w:pStyle w:val="NormalWeb"/>
        <w:numPr>
          <w:ilvl w:val="0"/>
          <w:numId w:val="15"/>
        </w:numPr>
      </w:pPr>
      <w:r>
        <w:t>Email / Website: [Insert Contact Details]</w:t>
      </w:r>
    </w:p>
    <w:p w:rsidR="00F92EF1" w:rsidRDefault="00F92EF1" w:rsidP="00F92EF1">
      <w:pPr>
        <w:pStyle w:val="NormalWeb"/>
        <w:numPr>
          <w:ilvl w:val="0"/>
          <w:numId w:val="15"/>
        </w:numPr>
      </w:pPr>
      <w:r>
        <w:t>Telephone: [Insert Phone]</w:t>
      </w:r>
    </w:p>
    <w:p w:rsidR="00F92EF1" w:rsidRDefault="00F92EF1" w:rsidP="00F92EF1">
      <w:pPr>
        <w:pStyle w:val="NormalWeb"/>
        <w:numPr>
          <w:ilvl w:val="0"/>
          <w:numId w:val="15"/>
        </w:numPr>
      </w:pPr>
      <w:r>
        <w:t>Contact Person / Role: [Insert Name]</w:t>
      </w:r>
    </w:p>
    <w:p w:rsidR="00F92EF1" w:rsidRDefault="00F92EF1" w:rsidP="00F92EF1">
      <w:pPr>
        <w:pStyle w:val="NormalWeb"/>
      </w:pPr>
      <w:r>
        <w:rPr>
          <w:rStyle w:val="Strong"/>
        </w:rPr>
        <w:t>Importer (if applicable)</w:t>
      </w:r>
    </w:p>
    <w:p w:rsidR="00F92EF1" w:rsidRDefault="00F92EF1" w:rsidP="00F92EF1">
      <w:pPr>
        <w:pStyle w:val="NormalWeb"/>
        <w:numPr>
          <w:ilvl w:val="0"/>
          <w:numId w:val="16"/>
        </w:numPr>
      </w:pPr>
      <w:r>
        <w:t>Name: [Insert Name]</w:t>
      </w:r>
    </w:p>
    <w:p w:rsidR="00F92EF1" w:rsidRDefault="00F92EF1" w:rsidP="00F92EF1">
      <w:pPr>
        <w:pStyle w:val="NormalWeb"/>
        <w:numPr>
          <w:ilvl w:val="0"/>
          <w:numId w:val="16"/>
        </w:numPr>
      </w:pPr>
      <w:r>
        <w:t>Trade Name / Trademark: [Insert Trade Name]</w:t>
      </w:r>
    </w:p>
    <w:p w:rsidR="00F92EF1" w:rsidRDefault="00F92EF1" w:rsidP="00F92EF1">
      <w:pPr>
        <w:pStyle w:val="NormalWeb"/>
        <w:numPr>
          <w:ilvl w:val="0"/>
          <w:numId w:val="16"/>
        </w:numPr>
      </w:pPr>
      <w:r>
        <w:t>Full Address: [Insert Address]</w:t>
      </w:r>
    </w:p>
    <w:p w:rsidR="00F92EF1" w:rsidRDefault="00F92EF1" w:rsidP="00F92EF1">
      <w:pPr>
        <w:pStyle w:val="NormalWeb"/>
        <w:numPr>
          <w:ilvl w:val="0"/>
          <w:numId w:val="16"/>
        </w:numPr>
      </w:pPr>
      <w:r>
        <w:t>Email / Website: [Insert Contact Details]</w:t>
      </w:r>
    </w:p>
    <w:p w:rsidR="00F92EF1" w:rsidRDefault="00F92EF1" w:rsidP="00F92EF1">
      <w:pPr>
        <w:pStyle w:val="NormalWeb"/>
        <w:numPr>
          <w:ilvl w:val="0"/>
          <w:numId w:val="16"/>
        </w:numPr>
      </w:pPr>
      <w:r>
        <w:t>Telephone: [Insert Phone]</w:t>
      </w:r>
    </w:p>
    <w:p w:rsidR="00F92EF1" w:rsidRDefault="00F92EF1" w:rsidP="00F92EF1">
      <w:pPr>
        <w:pStyle w:val="NormalWeb"/>
        <w:numPr>
          <w:ilvl w:val="0"/>
          <w:numId w:val="16"/>
        </w:numPr>
      </w:pPr>
      <w:r>
        <w:t>Contact Person / Role: [Insert Name]</w:t>
      </w:r>
    </w:p>
    <w:p w:rsidR="00F92EF1" w:rsidRDefault="00F92EF1" w:rsidP="00F92EF1">
      <w:pPr>
        <w:pStyle w:val="NormalWeb"/>
      </w:pPr>
      <w:r>
        <w:rPr>
          <w:rStyle w:val="Strong"/>
        </w:rPr>
        <w:t>EU Authorised Representative / Responsible Person</w:t>
      </w:r>
    </w:p>
    <w:p w:rsidR="00F92EF1" w:rsidRDefault="00F92EF1" w:rsidP="00F92EF1">
      <w:pPr>
        <w:pStyle w:val="NormalWeb"/>
        <w:numPr>
          <w:ilvl w:val="0"/>
          <w:numId w:val="17"/>
        </w:numPr>
      </w:pPr>
      <w:r>
        <w:t>Name: [Insert Name]</w:t>
      </w:r>
    </w:p>
    <w:p w:rsidR="00F92EF1" w:rsidRDefault="00F92EF1" w:rsidP="00F92EF1">
      <w:pPr>
        <w:pStyle w:val="NormalWeb"/>
        <w:numPr>
          <w:ilvl w:val="0"/>
          <w:numId w:val="17"/>
        </w:numPr>
      </w:pPr>
      <w:r>
        <w:t>Trade Name / Trademark: [Insert Trade Name]</w:t>
      </w:r>
    </w:p>
    <w:p w:rsidR="00F92EF1" w:rsidRDefault="00F92EF1" w:rsidP="00F92EF1">
      <w:pPr>
        <w:pStyle w:val="NormalWeb"/>
        <w:numPr>
          <w:ilvl w:val="0"/>
          <w:numId w:val="17"/>
        </w:numPr>
      </w:pPr>
      <w:r>
        <w:t>Full Address: [Insert EU Address]</w:t>
      </w:r>
    </w:p>
    <w:p w:rsidR="00F92EF1" w:rsidRDefault="00F92EF1" w:rsidP="00F92EF1">
      <w:pPr>
        <w:pStyle w:val="NormalWeb"/>
        <w:numPr>
          <w:ilvl w:val="0"/>
          <w:numId w:val="17"/>
        </w:numPr>
      </w:pPr>
      <w:r>
        <w:t>Email / Website: [Insert Contact Details]</w:t>
      </w:r>
    </w:p>
    <w:p w:rsidR="00F92EF1" w:rsidRDefault="00F92EF1" w:rsidP="00F92EF1">
      <w:pPr>
        <w:pStyle w:val="NormalWeb"/>
        <w:numPr>
          <w:ilvl w:val="0"/>
          <w:numId w:val="17"/>
        </w:numPr>
      </w:pPr>
      <w:r>
        <w:t>Telephone: [Insert Phone]</w:t>
      </w:r>
    </w:p>
    <w:p w:rsidR="00F92EF1" w:rsidRDefault="00F92EF1" w:rsidP="00F92EF1">
      <w:pPr>
        <w:pStyle w:val="NormalWeb"/>
        <w:numPr>
          <w:ilvl w:val="0"/>
          <w:numId w:val="17"/>
        </w:numPr>
      </w:pPr>
      <w:r>
        <w:t>Contact Person / Role: [Insert Name]</w:t>
      </w:r>
    </w:p>
    <w:p w:rsidR="00F92EF1" w:rsidRDefault="00656B30" w:rsidP="00F92EF1">
      <w:r>
        <w:pict>
          <v:rect id="_x0000_i1026" style="width:0;height:1.5pt" o:hralign="center" o:hrstd="t" o:hr="t" fillcolor="#a0a0a0" stroked="f"/>
        </w:pict>
      </w:r>
    </w:p>
    <w:p w:rsidR="00F92EF1" w:rsidRDefault="00F92EF1" w:rsidP="00F92EF1">
      <w:pPr>
        <w:pStyle w:val="Heading2"/>
      </w:pPr>
      <w:r>
        <w:rPr>
          <w:rStyle w:val="Strong"/>
          <w:b/>
          <w:bCs/>
        </w:rPr>
        <w:t>Section 2 – General Product Description</w:t>
      </w:r>
    </w:p>
    <w:p w:rsidR="00F92EF1" w:rsidRDefault="00F92EF1" w:rsidP="00F92EF1">
      <w:pPr>
        <w:pStyle w:val="NormalWeb"/>
      </w:pPr>
      <w:r>
        <w:t>This section provides a clear understanding of the product’s design, function, materials, and intended users. It forms the basis for hazard identification and risk evaluation in accordance with Regulation (EU) 2023/988.</w:t>
      </w:r>
    </w:p>
    <w:p w:rsidR="00F92EF1" w:rsidRDefault="00F92EF1" w:rsidP="00F92EF1">
      <w:pPr>
        <w:pStyle w:val="NormalWeb"/>
        <w:numPr>
          <w:ilvl w:val="0"/>
          <w:numId w:val="18"/>
        </w:numPr>
      </w:pPr>
      <w:r>
        <w:rPr>
          <w:rStyle w:val="Strong"/>
        </w:rPr>
        <w:t>Product Name:</w:t>
      </w:r>
      <w:r>
        <w:t xml:space="preserve"> [Insert Product Name]</w:t>
      </w:r>
    </w:p>
    <w:p w:rsidR="00F92EF1" w:rsidRDefault="00F92EF1" w:rsidP="00F92EF1">
      <w:pPr>
        <w:pStyle w:val="NormalWeb"/>
        <w:numPr>
          <w:ilvl w:val="0"/>
          <w:numId w:val="18"/>
        </w:numPr>
      </w:pPr>
      <w:r>
        <w:rPr>
          <w:rStyle w:val="Strong"/>
        </w:rPr>
        <w:t>Product Description:</w:t>
      </w:r>
      <w:r>
        <w:br/>
        <w:t xml:space="preserve">Provide a clear description of the product, its purpose, key functions, appearance, and user </w:t>
      </w:r>
      <w:r>
        <w:lastRenderedPageBreak/>
        <w:t>interaction. Indicate whether the product is mechanical, electrical, electronic, or mixed technology. List included components and accessories.</w:t>
      </w:r>
    </w:p>
    <w:p w:rsidR="00F92EF1" w:rsidRDefault="00F92EF1" w:rsidP="00F92EF1">
      <w:pPr>
        <w:pStyle w:val="NormalWeb"/>
        <w:numPr>
          <w:ilvl w:val="0"/>
          <w:numId w:val="18"/>
        </w:numPr>
      </w:pPr>
      <w:r>
        <w:rPr>
          <w:rStyle w:val="Strong"/>
        </w:rPr>
        <w:t>Intended Use:</w:t>
      </w:r>
      <w:r>
        <w:br/>
        <w:t>Describe the normal intended use. Identify any reasonably foreseeable misuse that could influence safety (e.g. incorrect installation, child access, exposure to liquids or heat).</w:t>
      </w:r>
    </w:p>
    <w:p w:rsidR="00F92EF1" w:rsidRDefault="00F92EF1" w:rsidP="00F92EF1">
      <w:pPr>
        <w:pStyle w:val="NormalWeb"/>
        <w:numPr>
          <w:ilvl w:val="0"/>
          <w:numId w:val="18"/>
        </w:numPr>
      </w:pPr>
      <w:r>
        <w:rPr>
          <w:rStyle w:val="Strong"/>
        </w:rPr>
        <w:t>Safety-Relevant Characteristics:</w:t>
      </w:r>
    </w:p>
    <w:p w:rsidR="00F92EF1" w:rsidRDefault="00F92EF1" w:rsidP="00F92EF1">
      <w:pPr>
        <w:pStyle w:val="NormalWeb"/>
        <w:numPr>
          <w:ilvl w:val="1"/>
          <w:numId w:val="18"/>
        </w:numPr>
      </w:pPr>
      <w:r>
        <w:t>Dimensions &amp; Weight: [Insert Data]</w:t>
      </w:r>
    </w:p>
    <w:p w:rsidR="00F92EF1" w:rsidRDefault="00F92EF1" w:rsidP="00F92EF1">
      <w:pPr>
        <w:pStyle w:val="NormalWeb"/>
        <w:numPr>
          <w:ilvl w:val="1"/>
          <w:numId w:val="18"/>
        </w:numPr>
      </w:pPr>
      <w:r>
        <w:t>Shape &amp; Construction: [Insert Description]</w:t>
      </w:r>
    </w:p>
    <w:p w:rsidR="00F92EF1" w:rsidRDefault="00F92EF1" w:rsidP="00F92EF1">
      <w:pPr>
        <w:pStyle w:val="NormalWeb"/>
        <w:numPr>
          <w:ilvl w:val="1"/>
          <w:numId w:val="18"/>
        </w:numPr>
      </w:pPr>
      <w:r>
        <w:t>Mechanical Features: [Moving parts, detachable parts]</w:t>
      </w:r>
    </w:p>
    <w:p w:rsidR="00F92EF1" w:rsidRDefault="00F92EF1" w:rsidP="00F92EF1">
      <w:pPr>
        <w:pStyle w:val="NormalWeb"/>
        <w:numPr>
          <w:ilvl w:val="1"/>
          <w:numId w:val="18"/>
        </w:numPr>
      </w:pPr>
      <w:r>
        <w:t>Electrical / Thermal Components: [If applicable]</w:t>
      </w:r>
    </w:p>
    <w:p w:rsidR="00F92EF1" w:rsidRDefault="00F92EF1" w:rsidP="00F92EF1">
      <w:pPr>
        <w:pStyle w:val="NormalWeb"/>
        <w:numPr>
          <w:ilvl w:val="1"/>
          <w:numId w:val="18"/>
        </w:numPr>
      </w:pPr>
      <w:r>
        <w:t>Safety Features: [Locks, insulation, overload protection, etc.]</w:t>
      </w:r>
    </w:p>
    <w:p w:rsidR="00F92EF1" w:rsidRDefault="00F92EF1" w:rsidP="00F92EF1">
      <w:pPr>
        <w:pStyle w:val="NormalWeb"/>
        <w:numPr>
          <w:ilvl w:val="0"/>
          <w:numId w:val="18"/>
        </w:numPr>
      </w:pPr>
      <w:r>
        <w:rPr>
          <w:rStyle w:val="Strong"/>
        </w:rPr>
        <w:t>Materials &amp; Construction:</w:t>
      </w:r>
      <w:r>
        <w:br/>
        <w:t>List main materials and components.</w:t>
      </w:r>
      <w:r>
        <w:br/>
        <w:t>Confirm compliance with relevant EU chemical legislation (REACH, RoHS, POP).</w:t>
      </w:r>
    </w:p>
    <w:p w:rsidR="00F92EF1" w:rsidRDefault="00F92EF1" w:rsidP="00F92EF1">
      <w:pPr>
        <w:pStyle w:val="NormalWeb"/>
        <w:numPr>
          <w:ilvl w:val="0"/>
          <w:numId w:val="18"/>
        </w:numPr>
      </w:pPr>
      <w:r>
        <w:rPr>
          <w:rStyle w:val="Strong"/>
        </w:rPr>
        <w:t>Age Grading (if applicable):</w:t>
      </w:r>
      <w:r>
        <w:br/>
        <w:t>State intended user age group and justification based on design and applicable standards.</w:t>
      </w:r>
    </w:p>
    <w:p w:rsidR="00F92EF1" w:rsidRDefault="00656B30" w:rsidP="00F92EF1">
      <w:r>
        <w:pict>
          <v:rect id="_x0000_i1027" style="width:0;height:1.5pt" o:hralign="center" o:hrstd="t" o:hr="t" fillcolor="#a0a0a0" stroked="f"/>
        </w:pict>
      </w:r>
    </w:p>
    <w:p w:rsidR="00F92EF1" w:rsidRDefault="00F92EF1" w:rsidP="00F92EF1">
      <w:pPr>
        <w:pStyle w:val="Heading2"/>
      </w:pPr>
      <w:r>
        <w:rPr>
          <w:rStyle w:val="Strong"/>
          <w:b/>
          <w:bCs/>
        </w:rPr>
        <w:t>Section 3 – Applicable Legal Requirements &amp; Standards</w:t>
      </w:r>
    </w:p>
    <w:p w:rsidR="00F92EF1" w:rsidRDefault="00F92EF1" w:rsidP="00F92EF1">
      <w:pPr>
        <w:pStyle w:val="NormalWeb"/>
        <w:numPr>
          <w:ilvl w:val="0"/>
          <w:numId w:val="19"/>
        </w:numPr>
      </w:pPr>
      <w:r>
        <w:rPr>
          <w:rStyle w:val="Strong"/>
        </w:rPr>
        <w:t>Product Category:</w:t>
      </w:r>
      <w:r>
        <w:t xml:space="preserve"> [Insert Category]</w:t>
      </w:r>
    </w:p>
    <w:p w:rsidR="00F92EF1" w:rsidRDefault="00F92EF1" w:rsidP="00F92EF1">
      <w:pPr>
        <w:pStyle w:val="NormalWeb"/>
      </w:pPr>
      <w:r>
        <w:rPr>
          <w:rStyle w:val="Strong"/>
        </w:rPr>
        <w:t>Applicable EU Legislation:</w:t>
      </w:r>
    </w:p>
    <w:p w:rsidR="00F92EF1" w:rsidRDefault="00F92EF1" w:rsidP="00F92EF1">
      <w:pPr>
        <w:pStyle w:val="NormalWeb"/>
        <w:numPr>
          <w:ilvl w:val="0"/>
          <w:numId w:val="20"/>
        </w:numPr>
      </w:pPr>
      <w:r>
        <w:t>Regulation (EU) 2023/988 – General Product Safety Regulation (GPSR)</w:t>
      </w:r>
    </w:p>
    <w:p w:rsidR="00F92EF1" w:rsidRDefault="00F92EF1" w:rsidP="00F92EF1">
      <w:pPr>
        <w:pStyle w:val="NormalWeb"/>
        <w:numPr>
          <w:ilvl w:val="0"/>
          <w:numId w:val="20"/>
        </w:numPr>
      </w:pPr>
      <w:r>
        <w:t>Regulation (EC) 1907/2006 – REACH</w:t>
      </w:r>
    </w:p>
    <w:p w:rsidR="00F92EF1" w:rsidRDefault="00F92EF1" w:rsidP="00F92EF1">
      <w:pPr>
        <w:pStyle w:val="NormalWeb"/>
        <w:numPr>
          <w:ilvl w:val="0"/>
          <w:numId w:val="20"/>
        </w:numPr>
      </w:pPr>
      <w:r>
        <w:t>Regulation (EU) 2019/1021 – POP Regulation</w:t>
      </w:r>
    </w:p>
    <w:p w:rsidR="00F92EF1" w:rsidRDefault="00F92EF1" w:rsidP="00F92EF1">
      <w:pPr>
        <w:pStyle w:val="NormalWeb"/>
        <w:numPr>
          <w:ilvl w:val="0"/>
          <w:numId w:val="20"/>
        </w:numPr>
      </w:pPr>
      <w:r>
        <w:t>Other applicable sector legislation: [RoHS, EMC, LVD, Toy Safety, etc.]</w:t>
      </w:r>
    </w:p>
    <w:p w:rsidR="00F92EF1" w:rsidRDefault="00F92EF1" w:rsidP="00F92EF1">
      <w:pPr>
        <w:pStyle w:val="NormalWeb"/>
        <w:numPr>
          <w:ilvl w:val="0"/>
          <w:numId w:val="20"/>
        </w:numPr>
      </w:pPr>
      <w:r>
        <w:rPr>
          <w:rStyle w:val="Strong"/>
        </w:rPr>
        <w:t>CE Marking Required:</w:t>
      </w:r>
      <w:r>
        <w:t xml:space="preserve"> [Yes / No + justification]</w:t>
      </w:r>
    </w:p>
    <w:p w:rsidR="00F92EF1" w:rsidRDefault="00F92EF1" w:rsidP="00F92EF1">
      <w:pPr>
        <w:pStyle w:val="NormalWeb"/>
        <w:numPr>
          <w:ilvl w:val="0"/>
          <w:numId w:val="20"/>
        </w:numPr>
      </w:pPr>
      <w:r>
        <w:rPr>
          <w:rStyle w:val="Strong"/>
        </w:rPr>
        <w:t>Applied Harmonised Standards:</w:t>
      </w:r>
      <w:r>
        <w:t xml:space="preserve"> [List EN standards]</w:t>
      </w:r>
    </w:p>
    <w:p w:rsidR="00F92EF1" w:rsidRDefault="00F92EF1" w:rsidP="00F92EF1">
      <w:pPr>
        <w:pStyle w:val="NormalWeb"/>
        <w:numPr>
          <w:ilvl w:val="0"/>
          <w:numId w:val="20"/>
        </w:numPr>
      </w:pPr>
      <w:r>
        <w:rPr>
          <w:rStyle w:val="Strong"/>
        </w:rPr>
        <w:t>Other Reference Standards:</w:t>
      </w:r>
      <w:r>
        <w:t xml:space="preserve"> [ISO / IEC / National standards]</w:t>
      </w:r>
    </w:p>
    <w:p w:rsidR="00F92EF1" w:rsidRDefault="00656B30" w:rsidP="00F92EF1">
      <w:r>
        <w:pict>
          <v:rect id="_x0000_i1028" style="width:0;height:1.5pt" o:hralign="center" o:hrstd="t" o:hr="t" fillcolor="#a0a0a0" stroked="f"/>
        </w:pict>
      </w:r>
    </w:p>
    <w:p w:rsidR="00F92EF1" w:rsidRDefault="00F92EF1" w:rsidP="00F92EF1"/>
    <w:p w:rsidR="00F92EF1" w:rsidRDefault="00F92EF1" w:rsidP="00F92EF1">
      <w:pPr>
        <w:rPr>
          <w:rStyle w:val="Strong"/>
          <w:b w:val="0"/>
          <w:bCs w:val="0"/>
        </w:rPr>
      </w:pPr>
    </w:p>
    <w:p w:rsidR="00F92EF1" w:rsidRDefault="00F92EF1" w:rsidP="00F92EF1">
      <w:pPr>
        <w:pStyle w:val="Heading2"/>
      </w:pPr>
      <w:r>
        <w:rPr>
          <w:rStyle w:val="Strong"/>
          <w:b/>
          <w:bCs/>
        </w:rPr>
        <w:t>Section 4 – Product Design Safety Evaluation</w:t>
      </w:r>
    </w:p>
    <w:p w:rsidR="00F92EF1" w:rsidRDefault="00F92EF1" w:rsidP="00F92EF1">
      <w:pPr>
        <w:pStyle w:val="NormalWeb"/>
      </w:pPr>
      <w:r>
        <w:t>This section assesses product safety against relevant hazard categories. Testing, inspections, and documentation confirm that risks are reduced to an acceptable level under normal and foreseeable use.</w:t>
      </w:r>
    </w:p>
    <w:tbl>
      <w:tblPr>
        <w:tblW w:w="0" w:type="auto"/>
        <w:tblCellSpacing w:w="15" w:type="dxa"/>
        <w:tblCellMar>
          <w:top w:w="15" w:type="dxa"/>
          <w:left w:w="15" w:type="dxa"/>
          <w:bottom w:w="15" w:type="dxa"/>
          <w:right w:w="15" w:type="dxa"/>
        </w:tblCellMar>
        <w:tblLook w:val="04A0"/>
      </w:tblPr>
      <w:tblGrid>
        <w:gridCol w:w="1694"/>
        <w:gridCol w:w="1833"/>
        <w:gridCol w:w="2888"/>
        <w:gridCol w:w="1595"/>
        <w:gridCol w:w="1486"/>
      </w:tblGrid>
      <w:tr w:rsidR="00F92EF1" w:rsidTr="00F92EF1">
        <w:trPr>
          <w:tblHeader/>
          <w:tblCellSpacing w:w="15" w:type="dxa"/>
        </w:trPr>
        <w:tc>
          <w:tcPr>
            <w:tcW w:w="0" w:type="auto"/>
            <w:vAlign w:val="center"/>
            <w:hideMark/>
          </w:tcPr>
          <w:p w:rsidR="00F92EF1" w:rsidRDefault="00F92EF1">
            <w:pPr>
              <w:jc w:val="center"/>
              <w:rPr>
                <w:b/>
                <w:bCs/>
                <w:sz w:val="24"/>
                <w:szCs w:val="24"/>
              </w:rPr>
            </w:pPr>
            <w:r>
              <w:rPr>
                <w:b/>
                <w:bCs/>
              </w:rPr>
              <w:lastRenderedPageBreak/>
              <w:t>Hazard Category</w:t>
            </w:r>
          </w:p>
        </w:tc>
        <w:tc>
          <w:tcPr>
            <w:tcW w:w="0" w:type="auto"/>
            <w:vAlign w:val="center"/>
            <w:hideMark/>
          </w:tcPr>
          <w:p w:rsidR="00F92EF1" w:rsidRDefault="00F92EF1">
            <w:pPr>
              <w:jc w:val="center"/>
              <w:rPr>
                <w:b/>
                <w:bCs/>
                <w:sz w:val="24"/>
                <w:szCs w:val="24"/>
              </w:rPr>
            </w:pPr>
            <w:r>
              <w:rPr>
                <w:b/>
                <w:bCs/>
              </w:rPr>
              <w:t>Assessment Method</w:t>
            </w:r>
          </w:p>
        </w:tc>
        <w:tc>
          <w:tcPr>
            <w:tcW w:w="0" w:type="auto"/>
            <w:vAlign w:val="center"/>
            <w:hideMark/>
          </w:tcPr>
          <w:p w:rsidR="00F92EF1" w:rsidRDefault="00F92EF1">
            <w:pPr>
              <w:jc w:val="center"/>
              <w:rPr>
                <w:b/>
                <w:bCs/>
                <w:sz w:val="24"/>
                <w:szCs w:val="24"/>
              </w:rPr>
            </w:pPr>
            <w:r>
              <w:rPr>
                <w:b/>
                <w:bCs/>
              </w:rPr>
              <w:t>Risk Mitigation Measures</w:t>
            </w:r>
          </w:p>
        </w:tc>
        <w:tc>
          <w:tcPr>
            <w:tcW w:w="0" w:type="auto"/>
            <w:vAlign w:val="center"/>
            <w:hideMark/>
          </w:tcPr>
          <w:p w:rsidR="00F92EF1" w:rsidRDefault="00F92EF1">
            <w:pPr>
              <w:jc w:val="center"/>
              <w:rPr>
                <w:b/>
                <w:bCs/>
                <w:sz w:val="24"/>
                <w:szCs w:val="24"/>
              </w:rPr>
            </w:pPr>
            <w:r>
              <w:rPr>
                <w:b/>
                <w:bCs/>
              </w:rPr>
              <w:t>Compliance Evidence</w:t>
            </w:r>
          </w:p>
        </w:tc>
        <w:tc>
          <w:tcPr>
            <w:tcW w:w="0" w:type="auto"/>
            <w:vAlign w:val="center"/>
            <w:hideMark/>
          </w:tcPr>
          <w:p w:rsidR="00F92EF1" w:rsidRDefault="00F92EF1">
            <w:pPr>
              <w:jc w:val="center"/>
              <w:rPr>
                <w:b/>
                <w:bCs/>
                <w:sz w:val="24"/>
                <w:szCs w:val="24"/>
              </w:rPr>
            </w:pPr>
            <w:r>
              <w:rPr>
                <w:b/>
                <w:bCs/>
              </w:rPr>
              <w:t>Reference Standards</w:t>
            </w:r>
          </w:p>
        </w:tc>
      </w:tr>
      <w:tr w:rsidR="00F92EF1" w:rsidTr="00F92EF1">
        <w:trPr>
          <w:tblCellSpacing w:w="15" w:type="dxa"/>
        </w:trPr>
        <w:tc>
          <w:tcPr>
            <w:tcW w:w="0" w:type="auto"/>
            <w:vAlign w:val="center"/>
            <w:hideMark/>
          </w:tcPr>
          <w:p w:rsidR="00F92EF1" w:rsidRDefault="00F92EF1">
            <w:pPr>
              <w:rPr>
                <w:sz w:val="24"/>
                <w:szCs w:val="24"/>
              </w:rPr>
            </w:pPr>
            <w:r>
              <w:t>Mechanical / Physical</w:t>
            </w:r>
          </w:p>
        </w:tc>
        <w:tc>
          <w:tcPr>
            <w:tcW w:w="0" w:type="auto"/>
            <w:vAlign w:val="center"/>
            <w:hideMark/>
          </w:tcPr>
          <w:p w:rsidR="00F92EF1" w:rsidRDefault="00F92EF1">
            <w:pPr>
              <w:rPr>
                <w:sz w:val="24"/>
                <w:szCs w:val="24"/>
              </w:rPr>
            </w:pPr>
            <w:r>
              <w:t>Visual &amp; mechanical testing</w:t>
            </w:r>
          </w:p>
        </w:tc>
        <w:tc>
          <w:tcPr>
            <w:tcW w:w="0" w:type="auto"/>
            <w:vAlign w:val="center"/>
            <w:hideMark/>
          </w:tcPr>
          <w:p w:rsidR="00F92EF1" w:rsidRDefault="00F92EF1">
            <w:pPr>
              <w:rPr>
                <w:sz w:val="24"/>
                <w:szCs w:val="24"/>
              </w:rPr>
            </w:pPr>
            <w:r>
              <w:t>Rounded edges, reinforced parts, secure fasteners</w:t>
            </w:r>
          </w:p>
        </w:tc>
        <w:tc>
          <w:tcPr>
            <w:tcW w:w="0" w:type="auto"/>
            <w:vAlign w:val="center"/>
            <w:hideMark/>
          </w:tcPr>
          <w:p w:rsidR="00F92EF1" w:rsidRDefault="00F92EF1">
            <w:pPr>
              <w:rPr>
                <w:sz w:val="24"/>
                <w:szCs w:val="24"/>
              </w:rPr>
            </w:pPr>
            <w:r>
              <w:t>Test reports, drawings</w:t>
            </w:r>
          </w:p>
        </w:tc>
        <w:tc>
          <w:tcPr>
            <w:tcW w:w="0" w:type="auto"/>
            <w:vAlign w:val="center"/>
            <w:hideMark/>
          </w:tcPr>
          <w:p w:rsidR="00F92EF1" w:rsidRDefault="00F92EF1">
            <w:pPr>
              <w:rPr>
                <w:sz w:val="24"/>
                <w:szCs w:val="24"/>
              </w:rPr>
            </w:pPr>
            <w:r>
              <w:t>EN 71-1 / ISO 12100</w:t>
            </w:r>
          </w:p>
        </w:tc>
      </w:tr>
      <w:tr w:rsidR="00F92EF1" w:rsidTr="00F92EF1">
        <w:trPr>
          <w:tblCellSpacing w:w="15" w:type="dxa"/>
        </w:trPr>
        <w:tc>
          <w:tcPr>
            <w:tcW w:w="0" w:type="auto"/>
            <w:vAlign w:val="center"/>
            <w:hideMark/>
          </w:tcPr>
          <w:p w:rsidR="00F92EF1" w:rsidRDefault="00F92EF1">
            <w:pPr>
              <w:rPr>
                <w:sz w:val="24"/>
                <w:szCs w:val="24"/>
              </w:rPr>
            </w:pPr>
            <w:r>
              <w:t>Flammability / Thermal</w:t>
            </w:r>
          </w:p>
        </w:tc>
        <w:tc>
          <w:tcPr>
            <w:tcW w:w="0" w:type="auto"/>
            <w:vAlign w:val="center"/>
            <w:hideMark/>
          </w:tcPr>
          <w:p w:rsidR="00F92EF1" w:rsidRDefault="00F92EF1">
            <w:pPr>
              <w:rPr>
                <w:sz w:val="24"/>
                <w:szCs w:val="24"/>
              </w:rPr>
            </w:pPr>
            <w:r>
              <w:t>Material ignition tests</w:t>
            </w:r>
          </w:p>
        </w:tc>
        <w:tc>
          <w:tcPr>
            <w:tcW w:w="0" w:type="auto"/>
            <w:vAlign w:val="center"/>
            <w:hideMark/>
          </w:tcPr>
          <w:p w:rsidR="00F92EF1" w:rsidRDefault="00F92EF1">
            <w:pPr>
              <w:rPr>
                <w:sz w:val="24"/>
                <w:szCs w:val="24"/>
              </w:rPr>
            </w:pPr>
            <w:r>
              <w:t>Flame-retardant materials, temperature control</w:t>
            </w:r>
          </w:p>
        </w:tc>
        <w:tc>
          <w:tcPr>
            <w:tcW w:w="0" w:type="auto"/>
            <w:vAlign w:val="center"/>
            <w:hideMark/>
          </w:tcPr>
          <w:p w:rsidR="00F92EF1" w:rsidRDefault="00F92EF1">
            <w:pPr>
              <w:rPr>
                <w:sz w:val="24"/>
                <w:szCs w:val="24"/>
              </w:rPr>
            </w:pPr>
            <w:r>
              <w:t>Material certificates</w:t>
            </w:r>
          </w:p>
        </w:tc>
        <w:tc>
          <w:tcPr>
            <w:tcW w:w="0" w:type="auto"/>
            <w:vAlign w:val="center"/>
            <w:hideMark/>
          </w:tcPr>
          <w:p w:rsidR="00F92EF1" w:rsidRDefault="00F92EF1">
            <w:pPr>
              <w:rPr>
                <w:sz w:val="24"/>
                <w:szCs w:val="24"/>
              </w:rPr>
            </w:pPr>
            <w:r>
              <w:t>EN 71-2 / EN 60335</w:t>
            </w:r>
          </w:p>
        </w:tc>
      </w:tr>
      <w:tr w:rsidR="00F92EF1" w:rsidTr="00F92EF1">
        <w:trPr>
          <w:tblCellSpacing w:w="15" w:type="dxa"/>
        </w:trPr>
        <w:tc>
          <w:tcPr>
            <w:tcW w:w="0" w:type="auto"/>
            <w:vAlign w:val="center"/>
            <w:hideMark/>
          </w:tcPr>
          <w:p w:rsidR="00F92EF1" w:rsidRDefault="00F92EF1">
            <w:pPr>
              <w:rPr>
                <w:sz w:val="24"/>
                <w:szCs w:val="24"/>
              </w:rPr>
            </w:pPr>
            <w:r>
              <w:t>Chemical</w:t>
            </w:r>
          </w:p>
        </w:tc>
        <w:tc>
          <w:tcPr>
            <w:tcW w:w="0" w:type="auto"/>
            <w:vAlign w:val="center"/>
            <w:hideMark/>
          </w:tcPr>
          <w:p w:rsidR="00F92EF1" w:rsidRDefault="00F92EF1">
            <w:pPr>
              <w:rPr>
                <w:sz w:val="24"/>
                <w:szCs w:val="24"/>
              </w:rPr>
            </w:pPr>
            <w:r>
              <w:t>REACH / RoHS screening</w:t>
            </w:r>
          </w:p>
        </w:tc>
        <w:tc>
          <w:tcPr>
            <w:tcW w:w="0" w:type="auto"/>
            <w:vAlign w:val="center"/>
            <w:hideMark/>
          </w:tcPr>
          <w:p w:rsidR="00F92EF1" w:rsidRDefault="00F92EF1">
            <w:pPr>
              <w:rPr>
                <w:sz w:val="24"/>
                <w:szCs w:val="24"/>
              </w:rPr>
            </w:pPr>
            <w:r>
              <w:t>Restricted substance control</w:t>
            </w:r>
          </w:p>
        </w:tc>
        <w:tc>
          <w:tcPr>
            <w:tcW w:w="0" w:type="auto"/>
            <w:vAlign w:val="center"/>
            <w:hideMark/>
          </w:tcPr>
          <w:p w:rsidR="00F92EF1" w:rsidRDefault="00F92EF1">
            <w:pPr>
              <w:rPr>
                <w:sz w:val="24"/>
                <w:szCs w:val="24"/>
              </w:rPr>
            </w:pPr>
            <w:r>
              <w:t>Chemical test reports</w:t>
            </w:r>
          </w:p>
        </w:tc>
        <w:tc>
          <w:tcPr>
            <w:tcW w:w="0" w:type="auto"/>
            <w:vAlign w:val="center"/>
            <w:hideMark/>
          </w:tcPr>
          <w:p w:rsidR="00F92EF1" w:rsidRDefault="00F92EF1">
            <w:pPr>
              <w:rPr>
                <w:sz w:val="24"/>
                <w:szCs w:val="24"/>
              </w:rPr>
            </w:pPr>
            <w:r>
              <w:t>REACH / RoHS</w:t>
            </w:r>
          </w:p>
        </w:tc>
      </w:tr>
      <w:tr w:rsidR="00F92EF1" w:rsidTr="00F92EF1">
        <w:trPr>
          <w:tblCellSpacing w:w="15" w:type="dxa"/>
        </w:trPr>
        <w:tc>
          <w:tcPr>
            <w:tcW w:w="0" w:type="auto"/>
            <w:vAlign w:val="center"/>
            <w:hideMark/>
          </w:tcPr>
          <w:p w:rsidR="00F92EF1" w:rsidRDefault="00F92EF1">
            <w:pPr>
              <w:rPr>
                <w:sz w:val="24"/>
                <w:szCs w:val="24"/>
              </w:rPr>
            </w:pPr>
            <w:r>
              <w:t>Electrical</w:t>
            </w:r>
          </w:p>
        </w:tc>
        <w:tc>
          <w:tcPr>
            <w:tcW w:w="0" w:type="auto"/>
            <w:vAlign w:val="center"/>
            <w:hideMark/>
          </w:tcPr>
          <w:p w:rsidR="00F92EF1" w:rsidRDefault="00F92EF1">
            <w:pPr>
              <w:rPr>
                <w:sz w:val="24"/>
                <w:szCs w:val="24"/>
              </w:rPr>
            </w:pPr>
            <w:r>
              <w:t>Electrical safety testing</w:t>
            </w:r>
          </w:p>
        </w:tc>
        <w:tc>
          <w:tcPr>
            <w:tcW w:w="0" w:type="auto"/>
            <w:vAlign w:val="center"/>
            <w:hideMark/>
          </w:tcPr>
          <w:p w:rsidR="00F92EF1" w:rsidRDefault="00F92EF1">
            <w:pPr>
              <w:rPr>
                <w:sz w:val="24"/>
                <w:szCs w:val="24"/>
              </w:rPr>
            </w:pPr>
            <w:r>
              <w:t>Insulation, grounding, auto shut-off</w:t>
            </w:r>
          </w:p>
        </w:tc>
        <w:tc>
          <w:tcPr>
            <w:tcW w:w="0" w:type="auto"/>
            <w:vAlign w:val="center"/>
            <w:hideMark/>
          </w:tcPr>
          <w:p w:rsidR="00F92EF1" w:rsidRDefault="00F92EF1">
            <w:pPr>
              <w:rPr>
                <w:sz w:val="24"/>
                <w:szCs w:val="24"/>
              </w:rPr>
            </w:pPr>
            <w:r>
              <w:t>Electrical test reports</w:t>
            </w:r>
          </w:p>
        </w:tc>
        <w:tc>
          <w:tcPr>
            <w:tcW w:w="0" w:type="auto"/>
            <w:vAlign w:val="center"/>
            <w:hideMark/>
          </w:tcPr>
          <w:p w:rsidR="00F92EF1" w:rsidRDefault="00F92EF1">
            <w:pPr>
              <w:rPr>
                <w:sz w:val="24"/>
                <w:szCs w:val="24"/>
              </w:rPr>
            </w:pPr>
            <w:r>
              <w:t>EN 60335 / LVD</w:t>
            </w:r>
          </w:p>
        </w:tc>
      </w:tr>
      <w:tr w:rsidR="00F92EF1" w:rsidTr="00F92EF1">
        <w:trPr>
          <w:tblCellSpacing w:w="15" w:type="dxa"/>
        </w:trPr>
        <w:tc>
          <w:tcPr>
            <w:tcW w:w="0" w:type="auto"/>
            <w:vAlign w:val="center"/>
            <w:hideMark/>
          </w:tcPr>
          <w:p w:rsidR="00F92EF1" w:rsidRDefault="00F92EF1">
            <w:pPr>
              <w:rPr>
                <w:sz w:val="24"/>
                <w:szCs w:val="24"/>
              </w:rPr>
            </w:pPr>
            <w:r>
              <w:t>Hygiene</w:t>
            </w:r>
          </w:p>
        </w:tc>
        <w:tc>
          <w:tcPr>
            <w:tcW w:w="0" w:type="auto"/>
            <w:vAlign w:val="center"/>
            <w:hideMark/>
          </w:tcPr>
          <w:p w:rsidR="00F92EF1" w:rsidRDefault="00F92EF1">
            <w:pPr>
              <w:rPr>
                <w:sz w:val="24"/>
                <w:szCs w:val="24"/>
              </w:rPr>
            </w:pPr>
            <w:r>
              <w:t>Material review</w:t>
            </w:r>
          </w:p>
        </w:tc>
        <w:tc>
          <w:tcPr>
            <w:tcW w:w="0" w:type="auto"/>
            <w:vAlign w:val="center"/>
            <w:hideMark/>
          </w:tcPr>
          <w:p w:rsidR="00F92EF1" w:rsidRDefault="00F92EF1">
            <w:pPr>
              <w:rPr>
                <w:sz w:val="24"/>
                <w:szCs w:val="24"/>
              </w:rPr>
            </w:pPr>
            <w:r>
              <w:t>Washable, non-porous surfaces</w:t>
            </w:r>
          </w:p>
        </w:tc>
        <w:tc>
          <w:tcPr>
            <w:tcW w:w="0" w:type="auto"/>
            <w:vAlign w:val="center"/>
            <w:hideMark/>
          </w:tcPr>
          <w:p w:rsidR="00F92EF1" w:rsidRDefault="00F92EF1">
            <w:pPr>
              <w:rPr>
                <w:sz w:val="24"/>
                <w:szCs w:val="24"/>
              </w:rPr>
            </w:pPr>
            <w:r>
              <w:t>Cleaning instructions</w:t>
            </w:r>
          </w:p>
        </w:tc>
        <w:tc>
          <w:tcPr>
            <w:tcW w:w="0" w:type="auto"/>
            <w:vAlign w:val="center"/>
            <w:hideMark/>
          </w:tcPr>
          <w:p w:rsidR="00F92EF1" w:rsidRDefault="00F92EF1">
            <w:pPr>
              <w:rPr>
                <w:sz w:val="24"/>
                <w:szCs w:val="24"/>
              </w:rPr>
            </w:pPr>
            <w:r>
              <w:t>ISO 22196</w:t>
            </w:r>
          </w:p>
        </w:tc>
      </w:tr>
      <w:tr w:rsidR="00F92EF1" w:rsidTr="00F92EF1">
        <w:trPr>
          <w:tblCellSpacing w:w="15" w:type="dxa"/>
        </w:trPr>
        <w:tc>
          <w:tcPr>
            <w:tcW w:w="0" w:type="auto"/>
            <w:vAlign w:val="center"/>
            <w:hideMark/>
          </w:tcPr>
          <w:p w:rsidR="00F92EF1" w:rsidRDefault="00F92EF1">
            <w:pPr>
              <w:rPr>
                <w:sz w:val="24"/>
                <w:szCs w:val="24"/>
              </w:rPr>
            </w:pPr>
            <w:r>
              <w:t>Radiation / EMF</w:t>
            </w:r>
          </w:p>
        </w:tc>
        <w:tc>
          <w:tcPr>
            <w:tcW w:w="0" w:type="auto"/>
            <w:vAlign w:val="center"/>
            <w:hideMark/>
          </w:tcPr>
          <w:p w:rsidR="00F92EF1" w:rsidRDefault="00F92EF1">
            <w:pPr>
              <w:rPr>
                <w:sz w:val="24"/>
                <w:szCs w:val="24"/>
              </w:rPr>
            </w:pPr>
            <w:r>
              <w:t>Emission testing</w:t>
            </w:r>
          </w:p>
        </w:tc>
        <w:tc>
          <w:tcPr>
            <w:tcW w:w="0" w:type="auto"/>
            <w:vAlign w:val="center"/>
            <w:hideMark/>
          </w:tcPr>
          <w:p w:rsidR="00F92EF1" w:rsidRDefault="00F92EF1">
            <w:pPr>
              <w:rPr>
                <w:sz w:val="24"/>
                <w:szCs w:val="24"/>
              </w:rPr>
            </w:pPr>
            <w:r>
              <w:t>Shielding, exposure limits</w:t>
            </w:r>
          </w:p>
        </w:tc>
        <w:tc>
          <w:tcPr>
            <w:tcW w:w="0" w:type="auto"/>
            <w:vAlign w:val="center"/>
            <w:hideMark/>
          </w:tcPr>
          <w:p w:rsidR="00F92EF1" w:rsidRDefault="00F92EF1">
            <w:pPr>
              <w:rPr>
                <w:sz w:val="24"/>
                <w:szCs w:val="24"/>
              </w:rPr>
            </w:pPr>
            <w:r>
              <w:t>EMF reports</w:t>
            </w:r>
          </w:p>
        </w:tc>
        <w:tc>
          <w:tcPr>
            <w:tcW w:w="0" w:type="auto"/>
            <w:vAlign w:val="center"/>
            <w:hideMark/>
          </w:tcPr>
          <w:p w:rsidR="00F92EF1" w:rsidRDefault="00F92EF1">
            <w:pPr>
              <w:rPr>
                <w:sz w:val="24"/>
                <w:szCs w:val="24"/>
              </w:rPr>
            </w:pPr>
            <w:r>
              <w:t>EN 62471</w:t>
            </w:r>
          </w:p>
        </w:tc>
      </w:tr>
    </w:tbl>
    <w:p w:rsidR="00F92EF1" w:rsidRDefault="00656B30" w:rsidP="00F92EF1">
      <w:r>
        <w:pict>
          <v:rect id="_x0000_i1029" style="width:0;height:1.5pt" o:hralign="center" o:hrstd="t" o:hr="t" fillcolor="#a0a0a0" stroked="f"/>
        </w:pict>
      </w:r>
    </w:p>
    <w:p w:rsidR="00F92EF1" w:rsidRDefault="00F92EF1" w:rsidP="00F92EF1">
      <w:pPr>
        <w:pStyle w:val="Heading2"/>
      </w:pPr>
      <w:r>
        <w:rPr>
          <w:rStyle w:val="Strong"/>
          <w:b/>
          <w:bCs/>
        </w:rPr>
        <w:t>Section 5 – Risk Assessment Summary</w:t>
      </w:r>
    </w:p>
    <w:p w:rsidR="00F92EF1" w:rsidRDefault="00F92EF1" w:rsidP="00F92EF1">
      <w:pPr>
        <w:pStyle w:val="NormalWeb"/>
      </w:pPr>
      <w:r>
        <w:t>All identified hazards are evaluated according to severity and likelihood following ISO 12100 and GPSR Annex I.</w:t>
      </w:r>
    </w:p>
    <w:tbl>
      <w:tblPr>
        <w:tblW w:w="0" w:type="auto"/>
        <w:tblCellSpacing w:w="15" w:type="dxa"/>
        <w:tblCellMar>
          <w:top w:w="15" w:type="dxa"/>
          <w:left w:w="15" w:type="dxa"/>
          <w:bottom w:w="15" w:type="dxa"/>
          <w:right w:w="15" w:type="dxa"/>
        </w:tblCellMar>
        <w:tblLook w:val="04A0"/>
      </w:tblPr>
      <w:tblGrid>
        <w:gridCol w:w="1062"/>
        <w:gridCol w:w="2393"/>
        <w:gridCol w:w="2225"/>
        <w:gridCol w:w="1496"/>
        <w:gridCol w:w="2320"/>
      </w:tblGrid>
      <w:tr w:rsidR="00F92EF1" w:rsidTr="00F92EF1">
        <w:trPr>
          <w:tblHeader/>
          <w:tblCellSpacing w:w="15" w:type="dxa"/>
        </w:trPr>
        <w:tc>
          <w:tcPr>
            <w:tcW w:w="0" w:type="auto"/>
            <w:vAlign w:val="center"/>
            <w:hideMark/>
          </w:tcPr>
          <w:p w:rsidR="00F92EF1" w:rsidRDefault="00F92EF1">
            <w:pPr>
              <w:jc w:val="center"/>
              <w:rPr>
                <w:b/>
                <w:bCs/>
                <w:sz w:val="24"/>
                <w:szCs w:val="24"/>
              </w:rPr>
            </w:pPr>
            <w:r>
              <w:rPr>
                <w:b/>
                <w:bCs/>
              </w:rPr>
              <w:t>Risk Level</w:t>
            </w:r>
          </w:p>
        </w:tc>
        <w:tc>
          <w:tcPr>
            <w:tcW w:w="0" w:type="auto"/>
            <w:vAlign w:val="center"/>
            <w:hideMark/>
          </w:tcPr>
          <w:p w:rsidR="00F92EF1" w:rsidRDefault="00F92EF1">
            <w:pPr>
              <w:jc w:val="center"/>
              <w:rPr>
                <w:b/>
                <w:bCs/>
                <w:sz w:val="24"/>
                <w:szCs w:val="24"/>
              </w:rPr>
            </w:pPr>
            <w:r>
              <w:rPr>
                <w:b/>
                <w:bCs/>
              </w:rPr>
              <w:t>Hazard Identified</w:t>
            </w:r>
          </w:p>
        </w:tc>
        <w:tc>
          <w:tcPr>
            <w:tcW w:w="0" w:type="auto"/>
            <w:vAlign w:val="center"/>
            <w:hideMark/>
          </w:tcPr>
          <w:p w:rsidR="00F92EF1" w:rsidRDefault="00F92EF1">
            <w:pPr>
              <w:jc w:val="center"/>
              <w:rPr>
                <w:b/>
                <w:bCs/>
                <w:sz w:val="24"/>
                <w:szCs w:val="24"/>
              </w:rPr>
            </w:pPr>
            <w:r>
              <w:rPr>
                <w:b/>
                <w:bCs/>
              </w:rPr>
              <w:t>Mitigation Measures</w:t>
            </w:r>
          </w:p>
        </w:tc>
        <w:tc>
          <w:tcPr>
            <w:tcW w:w="0" w:type="auto"/>
            <w:vAlign w:val="center"/>
            <w:hideMark/>
          </w:tcPr>
          <w:p w:rsidR="00F92EF1" w:rsidRDefault="00F92EF1">
            <w:pPr>
              <w:jc w:val="center"/>
              <w:rPr>
                <w:b/>
                <w:bCs/>
                <w:sz w:val="24"/>
                <w:szCs w:val="24"/>
              </w:rPr>
            </w:pPr>
            <w:r>
              <w:rPr>
                <w:b/>
                <w:bCs/>
              </w:rPr>
              <w:t>Reference Standard</w:t>
            </w:r>
          </w:p>
        </w:tc>
        <w:tc>
          <w:tcPr>
            <w:tcW w:w="0" w:type="auto"/>
            <w:vAlign w:val="center"/>
            <w:hideMark/>
          </w:tcPr>
          <w:p w:rsidR="00F92EF1" w:rsidRDefault="00F92EF1">
            <w:pPr>
              <w:jc w:val="center"/>
              <w:rPr>
                <w:b/>
                <w:bCs/>
                <w:sz w:val="24"/>
                <w:szCs w:val="24"/>
              </w:rPr>
            </w:pPr>
            <w:r>
              <w:rPr>
                <w:b/>
                <w:bCs/>
              </w:rPr>
              <w:t>Label Warning</w:t>
            </w:r>
          </w:p>
        </w:tc>
      </w:tr>
      <w:tr w:rsidR="00F92EF1" w:rsidTr="00F92EF1">
        <w:trPr>
          <w:tblCellSpacing w:w="15" w:type="dxa"/>
        </w:trPr>
        <w:tc>
          <w:tcPr>
            <w:tcW w:w="0" w:type="auto"/>
            <w:vAlign w:val="center"/>
            <w:hideMark/>
          </w:tcPr>
          <w:p w:rsidR="00F92EF1" w:rsidRDefault="00F92EF1">
            <w:pPr>
              <w:rPr>
                <w:sz w:val="24"/>
                <w:szCs w:val="24"/>
              </w:rPr>
            </w:pPr>
            <w:r>
              <w:t>Critical</w:t>
            </w:r>
          </w:p>
        </w:tc>
        <w:tc>
          <w:tcPr>
            <w:tcW w:w="0" w:type="auto"/>
            <w:vAlign w:val="center"/>
            <w:hideMark/>
          </w:tcPr>
          <w:p w:rsidR="00F92EF1" w:rsidRDefault="00F92EF1">
            <w:pPr>
              <w:rPr>
                <w:sz w:val="24"/>
                <w:szCs w:val="24"/>
              </w:rPr>
            </w:pPr>
            <w:r>
              <w:t>Packaging plastic bag – suffocation risk</w:t>
            </w:r>
          </w:p>
        </w:tc>
        <w:tc>
          <w:tcPr>
            <w:tcW w:w="0" w:type="auto"/>
            <w:vAlign w:val="center"/>
            <w:hideMark/>
          </w:tcPr>
          <w:p w:rsidR="00F92EF1" w:rsidRDefault="00F92EF1">
            <w:pPr>
              <w:rPr>
                <w:sz w:val="24"/>
                <w:szCs w:val="24"/>
              </w:rPr>
            </w:pPr>
            <w:r>
              <w:t>Perforated film, warning label</w:t>
            </w:r>
          </w:p>
        </w:tc>
        <w:tc>
          <w:tcPr>
            <w:tcW w:w="0" w:type="auto"/>
            <w:vAlign w:val="center"/>
            <w:hideMark/>
          </w:tcPr>
          <w:p w:rsidR="00F92EF1" w:rsidRDefault="00F92EF1">
            <w:pPr>
              <w:rPr>
                <w:sz w:val="24"/>
                <w:szCs w:val="24"/>
              </w:rPr>
            </w:pPr>
            <w:r>
              <w:t>EN 71-1 / GPSR Art.6</w:t>
            </w:r>
          </w:p>
        </w:tc>
        <w:tc>
          <w:tcPr>
            <w:tcW w:w="0" w:type="auto"/>
            <w:vAlign w:val="center"/>
            <w:hideMark/>
          </w:tcPr>
          <w:p w:rsidR="00F92EF1" w:rsidRDefault="00F92EF1">
            <w:pPr>
              <w:rPr>
                <w:sz w:val="24"/>
                <w:szCs w:val="24"/>
              </w:rPr>
            </w:pPr>
            <w:r>
              <w:rPr>
                <w:rFonts w:ascii="Times New Roman" w:hAnsi="Times New Roman" w:cs="Times New Roman"/>
              </w:rPr>
              <w:t>⚠ Plastic bag can cause suffocatio</w:t>
            </w:r>
            <w:r>
              <w:t>n</w:t>
            </w:r>
          </w:p>
        </w:tc>
      </w:tr>
      <w:tr w:rsidR="00F92EF1" w:rsidTr="00F92EF1">
        <w:trPr>
          <w:tblCellSpacing w:w="15" w:type="dxa"/>
        </w:trPr>
        <w:tc>
          <w:tcPr>
            <w:tcW w:w="0" w:type="auto"/>
            <w:vAlign w:val="center"/>
            <w:hideMark/>
          </w:tcPr>
          <w:p w:rsidR="00F92EF1" w:rsidRDefault="00F92EF1">
            <w:pPr>
              <w:rPr>
                <w:sz w:val="24"/>
                <w:szCs w:val="24"/>
              </w:rPr>
            </w:pPr>
            <w:r>
              <w:t>Critical</w:t>
            </w:r>
          </w:p>
        </w:tc>
        <w:tc>
          <w:tcPr>
            <w:tcW w:w="0" w:type="auto"/>
            <w:vAlign w:val="center"/>
            <w:hideMark/>
          </w:tcPr>
          <w:p w:rsidR="00F92EF1" w:rsidRDefault="00F92EF1">
            <w:pPr>
              <w:rPr>
                <w:sz w:val="24"/>
                <w:szCs w:val="24"/>
              </w:rPr>
            </w:pPr>
            <w:r>
              <w:t>Small parts – choking risk</w:t>
            </w:r>
          </w:p>
        </w:tc>
        <w:tc>
          <w:tcPr>
            <w:tcW w:w="0" w:type="auto"/>
            <w:vAlign w:val="center"/>
            <w:hideMark/>
          </w:tcPr>
          <w:p w:rsidR="00F92EF1" w:rsidRDefault="00F92EF1">
            <w:pPr>
              <w:rPr>
                <w:sz w:val="24"/>
                <w:szCs w:val="24"/>
              </w:rPr>
            </w:pPr>
            <w:r>
              <w:t>Secure fasteners, tensile testing</w:t>
            </w:r>
          </w:p>
        </w:tc>
        <w:tc>
          <w:tcPr>
            <w:tcW w:w="0" w:type="auto"/>
            <w:vAlign w:val="center"/>
            <w:hideMark/>
          </w:tcPr>
          <w:p w:rsidR="00F92EF1" w:rsidRDefault="00F92EF1">
            <w:pPr>
              <w:rPr>
                <w:sz w:val="24"/>
                <w:szCs w:val="24"/>
              </w:rPr>
            </w:pPr>
            <w:r>
              <w:t>EN 71-1</w:t>
            </w:r>
          </w:p>
        </w:tc>
        <w:tc>
          <w:tcPr>
            <w:tcW w:w="0" w:type="auto"/>
            <w:vAlign w:val="center"/>
            <w:hideMark/>
          </w:tcPr>
          <w:p w:rsidR="00F92EF1" w:rsidRDefault="00F92EF1">
            <w:pPr>
              <w:rPr>
                <w:sz w:val="24"/>
                <w:szCs w:val="24"/>
              </w:rPr>
            </w:pPr>
            <w:r>
              <w:rPr>
                <w:rFonts w:ascii="Times New Roman" w:hAnsi="Times New Roman" w:cs="Times New Roman"/>
              </w:rPr>
              <w:t>⚠ Not suitable for children under 3 year</w:t>
            </w:r>
            <w:r>
              <w:t>s</w:t>
            </w:r>
          </w:p>
        </w:tc>
      </w:tr>
      <w:tr w:rsidR="00F92EF1" w:rsidTr="00F92EF1">
        <w:trPr>
          <w:tblCellSpacing w:w="15" w:type="dxa"/>
        </w:trPr>
        <w:tc>
          <w:tcPr>
            <w:tcW w:w="0" w:type="auto"/>
            <w:vAlign w:val="center"/>
            <w:hideMark/>
          </w:tcPr>
          <w:p w:rsidR="00F92EF1" w:rsidRDefault="00F92EF1">
            <w:pPr>
              <w:rPr>
                <w:sz w:val="24"/>
                <w:szCs w:val="24"/>
              </w:rPr>
            </w:pPr>
            <w:r>
              <w:t>Major</w:t>
            </w:r>
          </w:p>
        </w:tc>
        <w:tc>
          <w:tcPr>
            <w:tcW w:w="0" w:type="auto"/>
            <w:vAlign w:val="center"/>
            <w:hideMark/>
          </w:tcPr>
          <w:p w:rsidR="00F92EF1" w:rsidRDefault="00F92EF1">
            <w:pPr>
              <w:rPr>
                <w:sz w:val="24"/>
                <w:szCs w:val="24"/>
              </w:rPr>
            </w:pPr>
            <w:r>
              <w:t>Cords / straps – strangulation risk</w:t>
            </w:r>
          </w:p>
        </w:tc>
        <w:tc>
          <w:tcPr>
            <w:tcW w:w="0" w:type="auto"/>
            <w:vAlign w:val="center"/>
            <w:hideMark/>
          </w:tcPr>
          <w:p w:rsidR="00F92EF1" w:rsidRDefault="00F92EF1">
            <w:pPr>
              <w:rPr>
                <w:sz w:val="24"/>
                <w:szCs w:val="24"/>
              </w:rPr>
            </w:pPr>
            <w:r>
              <w:t>Length limitation, break-away features</w:t>
            </w:r>
          </w:p>
        </w:tc>
        <w:tc>
          <w:tcPr>
            <w:tcW w:w="0" w:type="auto"/>
            <w:vAlign w:val="center"/>
            <w:hideMark/>
          </w:tcPr>
          <w:p w:rsidR="00F92EF1" w:rsidRDefault="00F92EF1">
            <w:pPr>
              <w:rPr>
                <w:sz w:val="24"/>
                <w:szCs w:val="24"/>
              </w:rPr>
            </w:pPr>
            <w:r>
              <w:t>EN 14682</w:t>
            </w:r>
          </w:p>
        </w:tc>
        <w:tc>
          <w:tcPr>
            <w:tcW w:w="0" w:type="auto"/>
            <w:vAlign w:val="center"/>
            <w:hideMark/>
          </w:tcPr>
          <w:p w:rsidR="00F92EF1" w:rsidRDefault="00F92EF1">
            <w:pPr>
              <w:rPr>
                <w:sz w:val="24"/>
                <w:szCs w:val="24"/>
              </w:rPr>
            </w:pPr>
            <w:r>
              <w:rPr>
                <w:rFonts w:ascii="Times New Roman" w:hAnsi="Times New Roman" w:cs="Times New Roman"/>
              </w:rPr>
              <w:t>⚠ Keep cords away from childre</w:t>
            </w:r>
            <w:r>
              <w:t>n</w:t>
            </w:r>
          </w:p>
        </w:tc>
      </w:tr>
      <w:tr w:rsidR="00F92EF1" w:rsidTr="00F92EF1">
        <w:trPr>
          <w:tblCellSpacing w:w="15" w:type="dxa"/>
        </w:trPr>
        <w:tc>
          <w:tcPr>
            <w:tcW w:w="0" w:type="auto"/>
            <w:vAlign w:val="center"/>
            <w:hideMark/>
          </w:tcPr>
          <w:p w:rsidR="00F92EF1" w:rsidRDefault="00F92EF1">
            <w:pPr>
              <w:rPr>
                <w:sz w:val="24"/>
                <w:szCs w:val="24"/>
              </w:rPr>
            </w:pPr>
            <w:r>
              <w:t>Minor</w:t>
            </w:r>
          </w:p>
        </w:tc>
        <w:tc>
          <w:tcPr>
            <w:tcW w:w="0" w:type="auto"/>
            <w:vAlign w:val="center"/>
            <w:hideMark/>
          </w:tcPr>
          <w:p w:rsidR="00F92EF1" w:rsidRDefault="00F92EF1">
            <w:pPr>
              <w:rPr>
                <w:sz w:val="24"/>
                <w:szCs w:val="24"/>
              </w:rPr>
            </w:pPr>
            <w:r>
              <w:t>Fire / heat exposure</w:t>
            </w:r>
          </w:p>
        </w:tc>
        <w:tc>
          <w:tcPr>
            <w:tcW w:w="0" w:type="auto"/>
            <w:vAlign w:val="center"/>
            <w:hideMark/>
          </w:tcPr>
          <w:p w:rsidR="00F92EF1" w:rsidRDefault="00F92EF1">
            <w:pPr>
              <w:rPr>
                <w:sz w:val="24"/>
                <w:szCs w:val="24"/>
              </w:rPr>
            </w:pPr>
            <w:r>
              <w:t>Flame-retardant materials</w:t>
            </w:r>
          </w:p>
        </w:tc>
        <w:tc>
          <w:tcPr>
            <w:tcW w:w="0" w:type="auto"/>
            <w:vAlign w:val="center"/>
            <w:hideMark/>
          </w:tcPr>
          <w:p w:rsidR="00F92EF1" w:rsidRDefault="00F92EF1">
            <w:pPr>
              <w:rPr>
                <w:sz w:val="24"/>
                <w:szCs w:val="24"/>
              </w:rPr>
            </w:pPr>
            <w:r>
              <w:t>EN 71-2</w:t>
            </w:r>
          </w:p>
        </w:tc>
        <w:tc>
          <w:tcPr>
            <w:tcW w:w="0" w:type="auto"/>
            <w:vAlign w:val="center"/>
            <w:hideMark/>
          </w:tcPr>
          <w:p w:rsidR="00F92EF1" w:rsidRDefault="00F92EF1">
            <w:pPr>
              <w:rPr>
                <w:sz w:val="24"/>
                <w:szCs w:val="24"/>
              </w:rPr>
            </w:pPr>
            <w:r>
              <w:rPr>
                <w:rFonts w:ascii="Times New Roman" w:hAnsi="Times New Roman" w:cs="Times New Roman"/>
              </w:rPr>
              <w:t>⚠ Keep away from heat source</w:t>
            </w:r>
            <w:r>
              <w:t>s</w:t>
            </w:r>
          </w:p>
        </w:tc>
      </w:tr>
      <w:tr w:rsidR="00F92EF1" w:rsidTr="00F92EF1">
        <w:trPr>
          <w:tblCellSpacing w:w="15" w:type="dxa"/>
        </w:trPr>
        <w:tc>
          <w:tcPr>
            <w:tcW w:w="0" w:type="auto"/>
            <w:vAlign w:val="center"/>
            <w:hideMark/>
          </w:tcPr>
          <w:p w:rsidR="00F92EF1" w:rsidRDefault="00F92EF1">
            <w:pPr>
              <w:rPr>
                <w:sz w:val="24"/>
                <w:szCs w:val="24"/>
              </w:rPr>
            </w:pPr>
            <w:r>
              <w:t>Production</w:t>
            </w:r>
          </w:p>
        </w:tc>
        <w:tc>
          <w:tcPr>
            <w:tcW w:w="0" w:type="auto"/>
            <w:vAlign w:val="center"/>
            <w:hideMark/>
          </w:tcPr>
          <w:p w:rsidR="00F92EF1" w:rsidRDefault="00F92EF1">
            <w:pPr>
              <w:rPr>
                <w:sz w:val="24"/>
                <w:szCs w:val="24"/>
              </w:rPr>
            </w:pPr>
            <w:r>
              <w:t>Foreign particle contamination</w:t>
            </w:r>
          </w:p>
        </w:tc>
        <w:tc>
          <w:tcPr>
            <w:tcW w:w="0" w:type="auto"/>
            <w:vAlign w:val="center"/>
            <w:hideMark/>
          </w:tcPr>
          <w:p w:rsidR="00F92EF1" w:rsidRDefault="00F92EF1">
            <w:pPr>
              <w:rPr>
                <w:sz w:val="24"/>
                <w:szCs w:val="24"/>
              </w:rPr>
            </w:pPr>
            <w:r>
              <w:t>QC inspection, filtered production</w:t>
            </w:r>
          </w:p>
        </w:tc>
        <w:tc>
          <w:tcPr>
            <w:tcW w:w="0" w:type="auto"/>
            <w:vAlign w:val="center"/>
            <w:hideMark/>
          </w:tcPr>
          <w:p w:rsidR="00F92EF1" w:rsidRDefault="00F92EF1">
            <w:pPr>
              <w:rPr>
                <w:sz w:val="24"/>
                <w:szCs w:val="24"/>
              </w:rPr>
            </w:pPr>
            <w:r>
              <w:t>Internal QC procedure</w:t>
            </w:r>
          </w:p>
        </w:tc>
        <w:tc>
          <w:tcPr>
            <w:tcW w:w="0" w:type="auto"/>
            <w:vAlign w:val="center"/>
            <w:hideMark/>
          </w:tcPr>
          <w:p w:rsidR="00F92EF1" w:rsidRDefault="00F92EF1">
            <w:pPr>
              <w:rPr>
                <w:sz w:val="24"/>
                <w:szCs w:val="24"/>
              </w:rPr>
            </w:pPr>
            <w:r>
              <w:t>No label required</w:t>
            </w:r>
          </w:p>
        </w:tc>
      </w:tr>
    </w:tbl>
    <w:p w:rsidR="00F92EF1" w:rsidRDefault="00656B30" w:rsidP="00F92EF1">
      <w:r>
        <w:lastRenderedPageBreak/>
        <w:pict>
          <v:rect id="_x0000_i1030" style="width:0;height:1.5pt" o:hralign="center" o:hrstd="t" o:hr="t" fillcolor="#a0a0a0" stroked="f"/>
        </w:pict>
      </w:r>
    </w:p>
    <w:p w:rsidR="00F92EF1" w:rsidRDefault="00F92EF1" w:rsidP="00F92EF1">
      <w:pPr>
        <w:pStyle w:val="Heading2"/>
      </w:pPr>
      <w:r>
        <w:rPr>
          <w:rStyle w:val="Strong"/>
          <w:b/>
          <w:bCs/>
        </w:rPr>
        <w:t>Section 6 – Labelling Requirements</w:t>
      </w:r>
    </w:p>
    <w:p w:rsidR="00F92EF1" w:rsidRDefault="00F92EF1" w:rsidP="00F92EF1">
      <w:pPr>
        <w:pStyle w:val="NormalWeb"/>
      </w:pPr>
      <w:r>
        <w:t>Labelling ensures traceability, consumer safety, and EU market access in accordance with GPSR Articles 9 and 19.</w:t>
      </w:r>
    </w:p>
    <w:p w:rsidR="00F92EF1" w:rsidRDefault="00F92EF1" w:rsidP="00F92EF1">
      <w:pPr>
        <w:pStyle w:val="Heading3"/>
      </w:pPr>
      <w:r>
        <w:rPr>
          <w:rStyle w:val="Strong"/>
          <w:b/>
          <w:bCs/>
        </w:rPr>
        <w:t>Mandatory Product Identification</w:t>
      </w:r>
    </w:p>
    <w:p w:rsidR="00F92EF1" w:rsidRDefault="00F92EF1" w:rsidP="00F92EF1">
      <w:pPr>
        <w:pStyle w:val="NormalWeb"/>
        <w:numPr>
          <w:ilvl w:val="0"/>
          <w:numId w:val="21"/>
        </w:numPr>
      </w:pPr>
      <w:r>
        <w:t>Manufacturer name and address</w:t>
      </w:r>
    </w:p>
    <w:p w:rsidR="00F92EF1" w:rsidRDefault="00F92EF1" w:rsidP="00F92EF1">
      <w:pPr>
        <w:pStyle w:val="NormalWeb"/>
        <w:numPr>
          <w:ilvl w:val="0"/>
          <w:numId w:val="21"/>
        </w:numPr>
      </w:pPr>
      <w:r>
        <w:t>Importer name and address (if applicable)</w:t>
      </w:r>
    </w:p>
    <w:p w:rsidR="00F92EF1" w:rsidRDefault="00F92EF1" w:rsidP="00F92EF1">
      <w:pPr>
        <w:pStyle w:val="NormalWeb"/>
        <w:numPr>
          <w:ilvl w:val="0"/>
          <w:numId w:val="21"/>
        </w:numPr>
      </w:pPr>
      <w:r>
        <w:t>EU Responsible Person name and address</w:t>
      </w:r>
    </w:p>
    <w:p w:rsidR="00F92EF1" w:rsidRDefault="00F92EF1" w:rsidP="00F92EF1">
      <w:pPr>
        <w:pStyle w:val="NormalWeb"/>
        <w:numPr>
          <w:ilvl w:val="0"/>
          <w:numId w:val="21"/>
        </w:numPr>
      </w:pPr>
      <w:r>
        <w:t>Product model / batch / serial number</w:t>
      </w:r>
    </w:p>
    <w:p w:rsidR="00F92EF1" w:rsidRDefault="00F92EF1" w:rsidP="00F92EF1">
      <w:pPr>
        <w:pStyle w:val="NormalWeb"/>
        <w:numPr>
          <w:ilvl w:val="0"/>
          <w:numId w:val="21"/>
        </w:numPr>
      </w:pPr>
      <w:r>
        <w:t>Contact information (email or website)</w:t>
      </w:r>
    </w:p>
    <w:p w:rsidR="00F92EF1" w:rsidRDefault="00F92EF1" w:rsidP="00F92EF1">
      <w:pPr>
        <w:pStyle w:val="Heading3"/>
      </w:pPr>
      <w:r>
        <w:rPr>
          <w:rStyle w:val="Strong"/>
          <w:b/>
          <w:bCs/>
        </w:rPr>
        <w:t>Online Sales Requirements</w:t>
      </w:r>
    </w:p>
    <w:p w:rsidR="00F92EF1" w:rsidRDefault="00F92EF1" w:rsidP="00F92EF1">
      <w:pPr>
        <w:pStyle w:val="NormalWeb"/>
      </w:pPr>
      <w:r>
        <w:t>Before purchase, online listings must display:</w:t>
      </w:r>
    </w:p>
    <w:p w:rsidR="00F92EF1" w:rsidRDefault="00F92EF1" w:rsidP="00F92EF1">
      <w:pPr>
        <w:pStyle w:val="NormalWeb"/>
        <w:numPr>
          <w:ilvl w:val="0"/>
          <w:numId w:val="22"/>
        </w:numPr>
      </w:pPr>
      <w:r>
        <w:t>Product image and identification</w:t>
      </w:r>
    </w:p>
    <w:p w:rsidR="00F92EF1" w:rsidRDefault="00F92EF1" w:rsidP="00F92EF1">
      <w:pPr>
        <w:pStyle w:val="NormalWeb"/>
        <w:numPr>
          <w:ilvl w:val="0"/>
          <w:numId w:val="22"/>
        </w:numPr>
      </w:pPr>
      <w:r>
        <w:t>Manufacturer / Responsible Person contact details</w:t>
      </w:r>
    </w:p>
    <w:p w:rsidR="00F92EF1" w:rsidRDefault="00F92EF1" w:rsidP="00F92EF1">
      <w:pPr>
        <w:pStyle w:val="NormalWeb"/>
        <w:numPr>
          <w:ilvl w:val="0"/>
          <w:numId w:val="22"/>
        </w:numPr>
      </w:pPr>
      <w:r>
        <w:t>Required warnings and safety information</w:t>
      </w:r>
    </w:p>
    <w:p w:rsidR="00F92EF1" w:rsidRDefault="00F92EF1" w:rsidP="00F92EF1">
      <w:pPr>
        <w:pStyle w:val="Heading3"/>
      </w:pPr>
      <w:r>
        <w:rPr>
          <w:rStyle w:val="Strong"/>
          <w:b/>
          <w:bCs/>
        </w:rPr>
        <w:t>Additional Markings (if applicable)</w:t>
      </w:r>
    </w:p>
    <w:p w:rsidR="00F92EF1" w:rsidRDefault="00F92EF1" w:rsidP="00F92EF1">
      <w:pPr>
        <w:pStyle w:val="NormalWeb"/>
        <w:numPr>
          <w:ilvl w:val="0"/>
          <w:numId w:val="23"/>
        </w:numPr>
      </w:pPr>
      <w:r>
        <w:t>CE marking</w:t>
      </w:r>
    </w:p>
    <w:p w:rsidR="00F92EF1" w:rsidRDefault="00F92EF1" w:rsidP="00F92EF1">
      <w:pPr>
        <w:pStyle w:val="NormalWeb"/>
        <w:numPr>
          <w:ilvl w:val="0"/>
          <w:numId w:val="23"/>
        </w:numPr>
      </w:pPr>
      <w:r>
        <w:t>Recycling / disposal symbols</w:t>
      </w:r>
    </w:p>
    <w:p w:rsidR="00F92EF1" w:rsidRDefault="00F92EF1" w:rsidP="00F92EF1">
      <w:pPr>
        <w:pStyle w:val="NormalWeb"/>
        <w:numPr>
          <w:ilvl w:val="0"/>
          <w:numId w:val="23"/>
        </w:numPr>
      </w:pPr>
      <w:r>
        <w:t>Country of origin</w:t>
      </w:r>
    </w:p>
    <w:p w:rsidR="00F92EF1" w:rsidRDefault="00F92EF1" w:rsidP="00F92EF1">
      <w:pPr>
        <w:pStyle w:val="NormalWeb"/>
        <w:numPr>
          <w:ilvl w:val="0"/>
          <w:numId w:val="23"/>
        </w:numPr>
      </w:pPr>
      <w:r>
        <w:t>Registration numbers (WEEE, packaging, etc.)</w:t>
      </w:r>
    </w:p>
    <w:p w:rsidR="00F92EF1" w:rsidRDefault="00F92EF1" w:rsidP="00F92EF1">
      <w:pPr>
        <w:pStyle w:val="Heading3"/>
      </w:pPr>
      <w:r>
        <w:rPr>
          <w:rStyle w:val="Strong"/>
          <w:b/>
          <w:bCs/>
        </w:rPr>
        <w:t>Warnings</w:t>
      </w:r>
    </w:p>
    <w:p w:rsidR="00F92EF1" w:rsidRDefault="00F92EF1" w:rsidP="00F92EF1">
      <w:pPr>
        <w:pStyle w:val="NormalWeb"/>
      </w:pPr>
      <w:r>
        <w:t>Safety warnings must be visible on product, packaging, or instructions, in the language of the destination EU country.</w:t>
      </w:r>
    </w:p>
    <w:p w:rsidR="00F92EF1" w:rsidRDefault="00F92EF1" w:rsidP="00F92EF1">
      <w:pPr>
        <w:pStyle w:val="Heading3"/>
      </w:pPr>
      <w:r>
        <w:rPr>
          <w:rStyle w:val="Strong"/>
          <w:b/>
          <w:bCs/>
        </w:rPr>
        <w:t>Placement Hierarchy</w:t>
      </w:r>
    </w:p>
    <w:p w:rsidR="00F92EF1" w:rsidRDefault="00F92EF1" w:rsidP="00F92EF1">
      <w:pPr>
        <w:pStyle w:val="NormalWeb"/>
        <w:numPr>
          <w:ilvl w:val="0"/>
          <w:numId w:val="24"/>
        </w:numPr>
      </w:pPr>
      <w:r>
        <w:t>On product</w:t>
      </w:r>
    </w:p>
    <w:p w:rsidR="00F92EF1" w:rsidRDefault="00F92EF1" w:rsidP="00F92EF1">
      <w:pPr>
        <w:pStyle w:val="NormalWeb"/>
        <w:numPr>
          <w:ilvl w:val="0"/>
          <w:numId w:val="24"/>
        </w:numPr>
      </w:pPr>
      <w:r>
        <w:t>On packaging</w:t>
      </w:r>
    </w:p>
    <w:p w:rsidR="00F92EF1" w:rsidRDefault="00F92EF1" w:rsidP="00F92EF1">
      <w:pPr>
        <w:pStyle w:val="NormalWeb"/>
        <w:numPr>
          <w:ilvl w:val="0"/>
          <w:numId w:val="24"/>
        </w:numPr>
      </w:pPr>
      <w:r>
        <w:t>In accompanying documentation</w:t>
      </w:r>
    </w:p>
    <w:p w:rsidR="00F92EF1" w:rsidRDefault="00F92EF1" w:rsidP="00F92EF1">
      <w:pPr>
        <w:pStyle w:val="Heading3"/>
      </w:pPr>
      <w:r>
        <w:rPr>
          <w:rStyle w:val="Strong"/>
          <w:b/>
          <w:bCs/>
        </w:rPr>
        <w:t>Digital Labelling</w:t>
      </w:r>
    </w:p>
    <w:p w:rsidR="00F92EF1" w:rsidRDefault="00F92EF1" w:rsidP="00F92EF1">
      <w:pPr>
        <w:pStyle w:val="NormalWeb"/>
      </w:pPr>
      <w:r>
        <w:t>QR codes may provide supplementary information but do not replace mandatory printed data.</w:t>
      </w:r>
    </w:p>
    <w:p w:rsidR="00F92EF1" w:rsidRDefault="00656B30" w:rsidP="00F92EF1">
      <w:r>
        <w:pict>
          <v:rect id="_x0000_i1031" style="width:0;height:1.5pt" o:hralign="center" o:hrstd="t" o:hr="t" fillcolor="#a0a0a0" stroked="f"/>
        </w:pict>
      </w:r>
    </w:p>
    <w:p w:rsidR="00F92EF1" w:rsidRDefault="00F92EF1" w:rsidP="00F92EF1">
      <w:pPr>
        <w:pStyle w:val="Heading2"/>
      </w:pPr>
      <w:r>
        <w:rPr>
          <w:rStyle w:val="Strong"/>
          <w:b/>
          <w:bCs/>
        </w:rPr>
        <w:lastRenderedPageBreak/>
        <w:t>Section 7 – Documentation &amp; Technical File</w:t>
      </w:r>
    </w:p>
    <w:p w:rsidR="00F92EF1" w:rsidRDefault="00F92EF1" w:rsidP="00F92EF1">
      <w:pPr>
        <w:pStyle w:val="NormalWeb"/>
      </w:pPr>
      <w:r>
        <w:t>The manufacturer must maintain a technical file containing:</w:t>
      </w:r>
    </w:p>
    <w:p w:rsidR="00F92EF1" w:rsidRDefault="00F92EF1" w:rsidP="00F92EF1">
      <w:pPr>
        <w:pStyle w:val="NormalWeb"/>
        <w:numPr>
          <w:ilvl w:val="0"/>
          <w:numId w:val="25"/>
        </w:numPr>
      </w:pPr>
      <w:r>
        <w:t>Risk assessment</w:t>
      </w:r>
    </w:p>
    <w:p w:rsidR="00F92EF1" w:rsidRDefault="00F92EF1" w:rsidP="00F92EF1">
      <w:pPr>
        <w:pStyle w:val="NormalWeb"/>
        <w:numPr>
          <w:ilvl w:val="0"/>
          <w:numId w:val="25"/>
        </w:numPr>
      </w:pPr>
      <w:r>
        <w:t>Test reports</w:t>
      </w:r>
    </w:p>
    <w:p w:rsidR="00F92EF1" w:rsidRDefault="00F92EF1" w:rsidP="00F92EF1">
      <w:pPr>
        <w:pStyle w:val="NormalWeb"/>
        <w:numPr>
          <w:ilvl w:val="0"/>
          <w:numId w:val="25"/>
        </w:numPr>
      </w:pPr>
      <w:r>
        <w:t>Material declarations</w:t>
      </w:r>
    </w:p>
    <w:p w:rsidR="00F92EF1" w:rsidRDefault="00F92EF1" w:rsidP="00F92EF1">
      <w:pPr>
        <w:pStyle w:val="NormalWeb"/>
        <w:numPr>
          <w:ilvl w:val="0"/>
          <w:numId w:val="25"/>
        </w:numPr>
      </w:pPr>
      <w:r>
        <w:t>Instructions and labels</w:t>
      </w:r>
    </w:p>
    <w:p w:rsidR="00F92EF1" w:rsidRDefault="00F92EF1" w:rsidP="00F92EF1">
      <w:pPr>
        <w:pStyle w:val="NormalWeb"/>
        <w:numPr>
          <w:ilvl w:val="0"/>
          <w:numId w:val="25"/>
        </w:numPr>
      </w:pPr>
      <w:r>
        <w:t>Declaration of Conformity (if applicable)</w:t>
      </w:r>
    </w:p>
    <w:p w:rsidR="00F92EF1" w:rsidRDefault="00656B30" w:rsidP="00F92EF1">
      <w:r>
        <w:pict>
          <v:rect id="_x0000_i1032" style="width:0;height:1.5pt" o:hralign="center" o:hrstd="t" o:hr="t" fillcolor="#a0a0a0" stroked="f"/>
        </w:pict>
      </w:r>
    </w:p>
    <w:p w:rsidR="00F92EF1" w:rsidRDefault="00F92EF1" w:rsidP="00F92EF1">
      <w:pPr>
        <w:pStyle w:val="Heading2"/>
      </w:pPr>
      <w:r>
        <w:rPr>
          <w:rStyle w:val="Strong"/>
          <w:b/>
          <w:bCs/>
        </w:rPr>
        <w:t>Section 8 – Responsible Person Requirement</w:t>
      </w:r>
    </w:p>
    <w:p w:rsidR="00F92EF1" w:rsidRDefault="00F92EF1" w:rsidP="00F92EF1">
      <w:pPr>
        <w:pStyle w:val="NormalWeb"/>
      </w:pPr>
      <w:r>
        <w:t>For non-EU manufacturers, an EU-based Responsible Person must be appointed.</w:t>
      </w:r>
      <w:r>
        <w:br/>
        <w:t>Their contact details must appear on the product or packaging.</w:t>
      </w:r>
    </w:p>
    <w:p w:rsidR="00F92EF1" w:rsidRDefault="00656B30" w:rsidP="00F92EF1">
      <w:r>
        <w:pict>
          <v:rect id="_x0000_i1033" style="width:0;height:1.5pt" o:hralign="center" o:hrstd="t" o:hr="t" fillcolor="#a0a0a0" stroked="f"/>
        </w:pict>
      </w:r>
    </w:p>
    <w:p w:rsidR="00F92EF1" w:rsidRDefault="00F92EF1" w:rsidP="00F92EF1">
      <w:pPr>
        <w:pStyle w:val="Heading2"/>
      </w:pPr>
      <w:r>
        <w:rPr>
          <w:rStyle w:val="Strong"/>
          <w:b/>
          <w:bCs/>
        </w:rPr>
        <w:t>Section 9 – Summary Statement</w:t>
      </w:r>
    </w:p>
    <w:p w:rsidR="00F92EF1" w:rsidRDefault="00F92EF1" w:rsidP="00F92EF1">
      <w:pPr>
        <w:pStyle w:val="NormalWeb"/>
      </w:pPr>
      <w:r>
        <w:t>This risk analysis confirms that the product has been assessed in accordance with Regulation (EU) 2023/988 and that identified risks have been mitigated to an acceptable level through design, testing, and labelling measures.</w:t>
      </w:r>
    </w:p>
    <w:p w:rsidR="00F92EF1" w:rsidRDefault="00656B30" w:rsidP="00F92EF1">
      <w:r>
        <w:pict>
          <v:rect id="_x0000_i1034" style="width:0;height:1.5pt" o:hralign="center" o:hrstd="t" o:hr="t" fillcolor="#a0a0a0" stroked="f"/>
        </w:pict>
      </w:r>
    </w:p>
    <w:p w:rsidR="00F92EF1" w:rsidRDefault="00F92EF1" w:rsidP="00F92EF1">
      <w:pPr>
        <w:pStyle w:val="Heading2"/>
      </w:pPr>
      <w:r>
        <w:rPr>
          <w:rStyle w:val="Strong"/>
          <w:b/>
          <w:bCs/>
        </w:rPr>
        <w:t>Legal Disclaimer</w:t>
      </w:r>
    </w:p>
    <w:p w:rsidR="00F92EF1" w:rsidRDefault="00F92EF1" w:rsidP="00F92EF1">
      <w:pPr>
        <w:pStyle w:val="NormalWeb"/>
      </w:pPr>
      <w:r>
        <w:t xml:space="preserve">This document template is provided by </w:t>
      </w:r>
      <w:r>
        <w:rPr>
          <w:rStyle w:val="Strong"/>
        </w:rPr>
        <w:t>Complico Consulting GmbH</w:t>
      </w:r>
      <w:r>
        <w:t xml:space="preserve"> for guidance purposes only.</w:t>
      </w:r>
      <w:r w:rsidR="005B53D7">
        <w:t xml:space="preserve"> </w:t>
      </w:r>
      <w:r>
        <w:t>It does not constitute legal advice and does not replace the manufacturer’s obligation to ensure full compliance with applicable EU product safety legislation. The manufacturer or importer remains solely responsible for the compliance of products placed on the EU market.</w:t>
      </w:r>
    </w:p>
    <w:p w:rsidR="00F92EF1" w:rsidRDefault="00656B30" w:rsidP="00F92EF1">
      <w:r>
        <w:pict>
          <v:rect id="_x0000_i1035" style="width:0;height:1.5pt" o:hralign="center" o:hrstd="t" o:hr="t" fillcolor="#a0a0a0" stroked="f"/>
        </w:pict>
      </w:r>
    </w:p>
    <w:p w:rsidR="00F92EF1" w:rsidRDefault="00F92EF1" w:rsidP="00F92EF1">
      <w:pPr>
        <w:pStyle w:val="Heading2"/>
      </w:pPr>
      <w:r>
        <w:rPr>
          <w:rStyle w:val="Strong"/>
          <w:b/>
          <w:bCs/>
        </w:rPr>
        <w:t>Complico Consulting – Compliance Support</w:t>
      </w:r>
    </w:p>
    <w:p w:rsidR="00F92EF1" w:rsidRDefault="00F92EF1" w:rsidP="00F92EF1">
      <w:pPr>
        <w:pStyle w:val="NormalWeb"/>
      </w:pPr>
      <w:r>
        <w:t>Complico Consulting supports manufacturers and e-commerce sellers with:</w:t>
      </w:r>
    </w:p>
    <w:p w:rsidR="00F92EF1" w:rsidRDefault="00F92EF1" w:rsidP="00F92EF1">
      <w:pPr>
        <w:pStyle w:val="NormalWeb"/>
        <w:numPr>
          <w:ilvl w:val="0"/>
          <w:numId w:val="26"/>
        </w:numPr>
      </w:pPr>
      <w:r>
        <w:t>GPSR Risk Assessments &amp; Technical Files</w:t>
      </w:r>
    </w:p>
    <w:p w:rsidR="00F92EF1" w:rsidRDefault="00F92EF1" w:rsidP="00F92EF1">
      <w:pPr>
        <w:pStyle w:val="NormalWeb"/>
        <w:numPr>
          <w:ilvl w:val="0"/>
          <w:numId w:val="26"/>
        </w:numPr>
      </w:pPr>
      <w:r>
        <w:t>EU Responsible Person Services</w:t>
      </w:r>
    </w:p>
    <w:p w:rsidR="00F92EF1" w:rsidRDefault="00F92EF1" w:rsidP="00F92EF1">
      <w:pPr>
        <w:pStyle w:val="NormalWeb"/>
        <w:numPr>
          <w:ilvl w:val="0"/>
          <w:numId w:val="26"/>
        </w:numPr>
      </w:pPr>
      <w:r>
        <w:t>Product Labelling &amp; Traceability Setup</w:t>
      </w:r>
    </w:p>
    <w:p w:rsidR="00F038DB" w:rsidRPr="00F92EF1" w:rsidRDefault="00F92EF1" w:rsidP="00F92EF1">
      <w:pPr>
        <w:pStyle w:val="NormalWeb"/>
        <w:numPr>
          <w:ilvl w:val="0"/>
          <w:numId w:val="26"/>
        </w:numPr>
      </w:pPr>
      <w:r>
        <w:t>EU Market Entry &amp; Amazon Compliance</w:t>
      </w:r>
    </w:p>
    <w:sectPr w:rsidR="00F038DB" w:rsidRPr="00F92EF1" w:rsidSect="005B53D7">
      <w:headerReference w:type="default" r:id="rId8"/>
      <w:footerReference w:type="default" r:id="rId9"/>
      <w:pgSz w:w="12240" w:h="15840"/>
      <w:pgMar w:top="1417" w:right="1417" w:bottom="1134" w:left="1417" w:header="170"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DA0" w:rsidRDefault="00F31DA0" w:rsidP="0066752C">
      <w:pPr>
        <w:spacing w:after="0" w:line="240" w:lineRule="auto"/>
      </w:pPr>
      <w:r>
        <w:separator/>
      </w:r>
    </w:p>
  </w:endnote>
  <w:endnote w:type="continuationSeparator" w:id="1">
    <w:p w:rsidR="00F31DA0" w:rsidRDefault="00F31DA0" w:rsidP="006675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52C" w:rsidRDefault="009C6822" w:rsidP="0066752C">
    <w:pPr>
      <w:pStyle w:val="Footer"/>
      <w:jc w:val="center"/>
    </w:pPr>
    <w:r w:rsidRPr="009C6822">
      <w:t>General Product Safety Regulation (GPSR) Risk Analysis Template</w:t>
    </w:r>
    <w:r w:rsidR="0066752C" w:rsidRPr="0066752C">
      <w:t xml:space="preserve">| </w:t>
    </w:r>
    <w:r w:rsidR="0066752C">
      <w:t xml:space="preserve">Jan </w:t>
    </w:r>
    <w:r w:rsidR="00387B73">
      <w:t>2026</w:t>
    </w:r>
  </w:p>
  <w:p w:rsidR="00387B73" w:rsidRDefault="00387B73" w:rsidP="00387B73">
    <w:pPr>
      <w:pStyle w:val="Footer"/>
      <w:jc w:val="center"/>
    </w:pPr>
    <w:r>
      <w:t xml:space="preserve">Complico Consulting GmbH, Germany, </w:t>
    </w:r>
    <w:hyperlink r:id="rId1" w:history="1">
      <w:r w:rsidRPr="00700ED9">
        <w:rPr>
          <w:rStyle w:val="Hyperlink"/>
        </w:rPr>
        <w:t>www.complicoconsulting.com</w:t>
      </w:r>
    </w:hyperlink>
    <w:r>
      <w:t>, +49 160 7959362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DA0" w:rsidRDefault="00F31DA0" w:rsidP="0066752C">
      <w:pPr>
        <w:spacing w:after="0" w:line="240" w:lineRule="auto"/>
      </w:pPr>
      <w:r>
        <w:separator/>
      </w:r>
    </w:p>
  </w:footnote>
  <w:footnote w:type="continuationSeparator" w:id="1">
    <w:p w:rsidR="00F31DA0" w:rsidRDefault="00F31DA0" w:rsidP="006675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752C" w:rsidRDefault="00656B30" w:rsidP="0066752C">
    <w:pPr>
      <w:pStyle w:val="Header"/>
      <w:jc w:val="right"/>
    </w:pPr>
    <w:r>
      <w:rPr>
        <w:noProof/>
      </w:rPr>
      <w:pict>
        <v:shapetype id="_x0000_t202" coordsize="21600,21600" o:spt="202" path="m,l,21600r21600,l21600,xe">
          <v:stroke joinstyle="miter"/>
          <v:path gradientshapeok="t" o:connecttype="rect"/>
        </v:shapetype>
        <v:shape id="_x0000_s2050" type="#_x0000_t202" style="position:absolute;left:0;text-align:left;margin-left:-5.45pt;margin-top:-.1pt;width:264.6pt;height:47.4pt;z-index:251658240" strokecolor="white [3212]">
          <v:textbox style="mso-next-textbox:#_x0000_s2050">
            <w:txbxContent>
              <w:p w:rsidR="0066752C" w:rsidRPr="009C6822" w:rsidRDefault="009C6822" w:rsidP="009C6822">
                <w:pPr>
                  <w:rPr>
                    <w:szCs w:val="30"/>
                  </w:rPr>
                </w:pPr>
                <w:r w:rsidRPr="009C6822">
                  <w:rPr>
                    <w:sz w:val="30"/>
                    <w:szCs w:val="30"/>
                  </w:rPr>
                  <w:t>General Product Safety Regulation (GPSR) Risk Analysis Template</w:t>
                </w:r>
              </w:p>
            </w:txbxContent>
          </v:textbox>
        </v:shape>
      </w:pict>
    </w:r>
    <w:r w:rsidR="0066752C">
      <w:rPr>
        <w:noProof/>
      </w:rPr>
      <w:drawing>
        <wp:inline distT="0" distB="0" distL="0" distR="0">
          <wp:extent cx="2118360" cy="609113"/>
          <wp:effectExtent l="1905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
                  <a:srcRect/>
                  <a:stretch>
                    <a:fillRect/>
                  </a:stretch>
                </pic:blipFill>
                <pic:spPr bwMode="auto">
                  <a:xfrm>
                    <a:off x="0" y="0"/>
                    <a:ext cx="2118360" cy="609113"/>
                  </a:xfrm>
                  <a:prstGeom prst="rect">
                    <a:avLst/>
                  </a:prstGeom>
                  <a:noFill/>
                  <a:ln w="9525">
                    <a:noFill/>
                    <a:miter lim="800000"/>
                    <a:headEnd/>
                    <a:tailEnd/>
                  </a:ln>
                </pic:spPr>
              </pic:pic>
            </a:graphicData>
          </a:graphic>
        </wp:inline>
      </w:drawing>
    </w:r>
  </w:p>
  <w:p w:rsidR="0066752C" w:rsidRDefault="0066752C" w:rsidP="0066752C">
    <w:pPr>
      <w:pStyle w:val="Header"/>
      <w:jc w:val="right"/>
    </w:pPr>
  </w:p>
  <w:p w:rsidR="0066752C" w:rsidRDefault="0066752C" w:rsidP="0066752C">
    <w:pPr>
      <w:pStyle w:val="Header"/>
    </w:pPr>
    <w:r>
      <w:t>By onsulting GmbH</w:t>
    </w:r>
    <w:r>
      <w:rPr>
        <w:noProof/>
      </w:rPr>
      <w:drawing>
        <wp:inline distT="0" distB="0" distL="0" distR="0">
          <wp:extent cx="4761905" cy="4761905"/>
          <wp:effectExtent l="19050" t="0" r="595" b="0"/>
          <wp:docPr id="1" name="Picture 0" descr="Complic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lico (1).png"/>
                  <pic:cNvPicPr/>
                </pic:nvPicPr>
                <pic:blipFill>
                  <a:blip r:embed="rId2"/>
                  <a:stretch>
                    <a:fillRect/>
                  </a:stretch>
                </pic:blipFill>
                <pic:spPr>
                  <a:xfrm>
                    <a:off x="0" y="0"/>
                    <a:ext cx="4761905" cy="4761905"/>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7570F"/>
    <w:multiLevelType w:val="multilevel"/>
    <w:tmpl w:val="5126A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B904A9"/>
    <w:multiLevelType w:val="multilevel"/>
    <w:tmpl w:val="0046F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66140"/>
    <w:multiLevelType w:val="multilevel"/>
    <w:tmpl w:val="5F362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4C765F"/>
    <w:multiLevelType w:val="multilevel"/>
    <w:tmpl w:val="F1A01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467E2C"/>
    <w:multiLevelType w:val="multilevel"/>
    <w:tmpl w:val="71D0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F4C4CB0"/>
    <w:multiLevelType w:val="multilevel"/>
    <w:tmpl w:val="47A4E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9D624D"/>
    <w:multiLevelType w:val="multilevel"/>
    <w:tmpl w:val="027C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633B8E"/>
    <w:multiLevelType w:val="multilevel"/>
    <w:tmpl w:val="F3AC8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290AB4"/>
    <w:multiLevelType w:val="multilevel"/>
    <w:tmpl w:val="7BD87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1060049"/>
    <w:multiLevelType w:val="multilevel"/>
    <w:tmpl w:val="6364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9656CA"/>
    <w:multiLevelType w:val="multilevel"/>
    <w:tmpl w:val="87A68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967685"/>
    <w:multiLevelType w:val="multilevel"/>
    <w:tmpl w:val="201C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BD72E17"/>
    <w:multiLevelType w:val="multilevel"/>
    <w:tmpl w:val="E9783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13262D"/>
    <w:multiLevelType w:val="multilevel"/>
    <w:tmpl w:val="9834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12B2752"/>
    <w:multiLevelType w:val="multilevel"/>
    <w:tmpl w:val="477E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3A2104"/>
    <w:multiLevelType w:val="multilevel"/>
    <w:tmpl w:val="8F3E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798301B"/>
    <w:multiLevelType w:val="multilevel"/>
    <w:tmpl w:val="78442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C805298"/>
    <w:multiLevelType w:val="multilevel"/>
    <w:tmpl w:val="C3A0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3091DE9"/>
    <w:multiLevelType w:val="multilevel"/>
    <w:tmpl w:val="690EB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2F0640"/>
    <w:multiLevelType w:val="multilevel"/>
    <w:tmpl w:val="D982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EFB71E0"/>
    <w:multiLevelType w:val="multilevel"/>
    <w:tmpl w:val="BA6A0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0280012"/>
    <w:multiLevelType w:val="multilevel"/>
    <w:tmpl w:val="D272F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2A7877"/>
    <w:multiLevelType w:val="multilevel"/>
    <w:tmpl w:val="591E4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B21DE2"/>
    <w:multiLevelType w:val="multilevel"/>
    <w:tmpl w:val="206C19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7D8364CC"/>
    <w:multiLevelType w:val="multilevel"/>
    <w:tmpl w:val="3EDE1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715792"/>
    <w:multiLevelType w:val="multilevel"/>
    <w:tmpl w:val="8C5AC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0"/>
  </w:num>
  <w:num w:numId="3">
    <w:abstractNumId w:val="2"/>
  </w:num>
  <w:num w:numId="4">
    <w:abstractNumId w:val="13"/>
  </w:num>
  <w:num w:numId="5">
    <w:abstractNumId w:val="0"/>
  </w:num>
  <w:num w:numId="6">
    <w:abstractNumId w:val="8"/>
  </w:num>
  <w:num w:numId="7">
    <w:abstractNumId w:val="14"/>
  </w:num>
  <w:num w:numId="8">
    <w:abstractNumId w:val="6"/>
  </w:num>
  <w:num w:numId="9">
    <w:abstractNumId w:val="19"/>
  </w:num>
  <w:num w:numId="10">
    <w:abstractNumId w:val="11"/>
  </w:num>
  <w:num w:numId="11">
    <w:abstractNumId w:val="22"/>
  </w:num>
  <w:num w:numId="12">
    <w:abstractNumId w:val="16"/>
  </w:num>
  <w:num w:numId="13">
    <w:abstractNumId w:val="18"/>
  </w:num>
  <w:num w:numId="14">
    <w:abstractNumId w:val="9"/>
  </w:num>
  <w:num w:numId="15">
    <w:abstractNumId w:val="24"/>
  </w:num>
  <w:num w:numId="16">
    <w:abstractNumId w:val="4"/>
  </w:num>
  <w:num w:numId="17">
    <w:abstractNumId w:val="17"/>
  </w:num>
  <w:num w:numId="18">
    <w:abstractNumId w:val="1"/>
  </w:num>
  <w:num w:numId="19">
    <w:abstractNumId w:val="25"/>
  </w:num>
  <w:num w:numId="20">
    <w:abstractNumId w:val="3"/>
  </w:num>
  <w:num w:numId="21">
    <w:abstractNumId w:val="12"/>
  </w:num>
  <w:num w:numId="22">
    <w:abstractNumId w:val="15"/>
  </w:num>
  <w:num w:numId="23">
    <w:abstractNumId w:val="21"/>
  </w:num>
  <w:num w:numId="24">
    <w:abstractNumId w:val="23"/>
  </w:num>
  <w:num w:numId="25">
    <w:abstractNumId w:val="10"/>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6">
      <o:colormenu v:ext="edit" strokecolor="none [3212]"/>
    </o:shapedefaults>
    <o:shapelayout v:ext="edit">
      <o:idmap v:ext="edit" data="2"/>
    </o:shapelayout>
  </w:hdrShapeDefaults>
  <w:footnotePr>
    <w:footnote w:id="0"/>
    <w:footnote w:id="1"/>
  </w:footnotePr>
  <w:endnotePr>
    <w:endnote w:id="0"/>
    <w:endnote w:id="1"/>
  </w:endnotePr>
  <w:compat>
    <w:useFELayout/>
  </w:compat>
  <w:rsids>
    <w:rsidRoot w:val="00BA74BF"/>
    <w:rsid w:val="001E5F92"/>
    <w:rsid w:val="001F0CFA"/>
    <w:rsid w:val="002F2262"/>
    <w:rsid w:val="00387B73"/>
    <w:rsid w:val="003E6627"/>
    <w:rsid w:val="0044067F"/>
    <w:rsid w:val="00466FED"/>
    <w:rsid w:val="004B704D"/>
    <w:rsid w:val="005B53D7"/>
    <w:rsid w:val="00656B30"/>
    <w:rsid w:val="0066752C"/>
    <w:rsid w:val="007A1998"/>
    <w:rsid w:val="00841B87"/>
    <w:rsid w:val="00930627"/>
    <w:rsid w:val="009A27E9"/>
    <w:rsid w:val="009C6822"/>
    <w:rsid w:val="00BA74BF"/>
    <w:rsid w:val="00BF4C6D"/>
    <w:rsid w:val="00CD2265"/>
    <w:rsid w:val="00F01BDB"/>
    <w:rsid w:val="00F038DB"/>
    <w:rsid w:val="00F31DA0"/>
    <w:rsid w:val="00F92E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704D"/>
  </w:style>
  <w:style w:type="paragraph" w:styleId="Heading1">
    <w:name w:val="heading 1"/>
    <w:basedOn w:val="Normal"/>
    <w:next w:val="Normal"/>
    <w:link w:val="Heading1Char"/>
    <w:uiPriority w:val="9"/>
    <w:qFormat/>
    <w:rsid w:val="00F92E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BA74B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A74B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74B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A74BF"/>
    <w:rPr>
      <w:rFonts w:ascii="Times New Roman" w:eastAsia="Times New Roman" w:hAnsi="Times New Roman" w:cs="Times New Roman"/>
      <w:b/>
      <w:bCs/>
      <w:sz w:val="27"/>
      <w:szCs w:val="27"/>
    </w:rPr>
  </w:style>
  <w:style w:type="character" w:styleId="Strong">
    <w:name w:val="Strong"/>
    <w:basedOn w:val="DefaultParagraphFont"/>
    <w:uiPriority w:val="22"/>
    <w:qFormat/>
    <w:rsid w:val="00BA74BF"/>
    <w:rPr>
      <w:b/>
      <w:bCs/>
    </w:rPr>
  </w:style>
  <w:style w:type="paragraph" w:styleId="NormalWeb">
    <w:name w:val="Normal (Web)"/>
    <w:basedOn w:val="Normal"/>
    <w:uiPriority w:val="99"/>
    <w:unhideWhenUsed/>
    <w:rsid w:val="00BA74B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A74BF"/>
    <w:rPr>
      <w:color w:val="0000FF"/>
      <w:u w:val="single"/>
    </w:rPr>
  </w:style>
  <w:style w:type="paragraph" w:styleId="FootnoteText">
    <w:name w:val="footnote text"/>
    <w:basedOn w:val="Normal"/>
    <w:link w:val="FootnoteTextChar"/>
    <w:uiPriority w:val="99"/>
    <w:semiHidden/>
    <w:unhideWhenUsed/>
    <w:rsid w:val="006675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752C"/>
    <w:rPr>
      <w:sz w:val="20"/>
      <w:szCs w:val="20"/>
    </w:rPr>
  </w:style>
  <w:style w:type="character" w:styleId="FootnoteReference">
    <w:name w:val="footnote reference"/>
    <w:basedOn w:val="DefaultParagraphFont"/>
    <w:uiPriority w:val="99"/>
    <w:semiHidden/>
    <w:unhideWhenUsed/>
    <w:rsid w:val="0066752C"/>
    <w:rPr>
      <w:vertAlign w:val="superscript"/>
    </w:rPr>
  </w:style>
  <w:style w:type="paragraph" w:styleId="Header">
    <w:name w:val="header"/>
    <w:basedOn w:val="Normal"/>
    <w:link w:val="HeaderChar"/>
    <w:uiPriority w:val="99"/>
    <w:semiHidden/>
    <w:unhideWhenUsed/>
    <w:rsid w:val="0066752C"/>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66752C"/>
  </w:style>
  <w:style w:type="paragraph" w:styleId="Footer">
    <w:name w:val="footer"/>
    <w:basedOn w:val="Normal"/>
    <w:link w:val="FooterChar"/>
    <w:uiPriority w:val="99"/>
    <w:semiHidden/>
    <w:unhideWhenUsed/>
    <w:rsid w:val="0066752C"/>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66752C"/>
  </w:style>
  <w:style w:type="paragraph" w:styleId="BalloonText">
    <w:name w:val="Balloon Text"/>
    <w:basedOn w:val="Normal"/>
    <w:link w:val="BalloonTextChar"/>
    <w:uiPriority w:val="99"/>
    <w:semiHidden/>
    <w:unhideWhenUsed/>
    <w:rsid w:val="006675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752C"/>
    <w:rPr>
      <w:rFonts w:ascii="Tahoma" w:hAnsi="Tahoma" w:cs="Tahoma"/>
      <w:sz w:val="16"/>
      <w:szCs w:val="16"/>
    </w:rPr>
  </w:style>
  <w:style w:type="character" w:customStyle="1" w:styleId="Heading1Char">
    <w:name w:val="Heading 1 Char"/>
    <w:basedOn w:val="DefaultParagraphFont"/>
    <w:link w:val="Heading1"/>
    <w:uiPriority w:val="9"/>
    <w:rsid w:val="00F92EF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61432213">
      <w:bodyDiv w:val="1"/>
      <w:marLeft w:val="0"/>
      <w:marRight w:val="0"/>
      <w:marTop w:val="0"/>
      <w:marBottom w:val="0"/>
      <w:divBdr>
        <w:top w:val="none" w:sz="0" w:space="0" w:color="auto"/>
        <w:left w:val="none" w:sz="0" w:space="0" w:color="auto"/>
        <w:bottom w:val="none" w:sz="0" w:space="0" w:color="auto"/>
        <w:right w:val="none" w:sz="0" w:space="0" w:color="auto"/>
      </w:divBdr>
    </w:div>
    <w:div w:id="1201628374">
      <w:bodyDiv w:val="1"/>
      <w:marLeft w:val="0"/>
      <w:marRight w:val="0"/>
      <w:marTop w:val="0"/>
      <w:marBottom w:val="0"/>
      <w:divBdr>
        <w:top w:val="none" w:sz="0" w:space="0" w:color="auto"/>
        <w:left w:val="none" w:sz="0" w:space="0" w:color="auto"/>
        <w:bottom w:val="none" w:sz="0" w:space="0" w:color="auto"/>
        <w:right w:val="none" w:sz="0" w:space="0" w:color="auto"/>
      </w:divBdr>
    </w:div>
    <w:div w:id="1235243541">
      <w:bodyDiv w:val="1"/>
      <w:marLeft w:val="0"/>
      <w:marRight w:val="0"/>
      <w:marTop w:val="0"/>
      <w:marBottom w:val="0"/>
      <w:divBdr>
        <w:top w:val="none" w:sz="0" w:space="0" w:color="auto"/>
        <w:left w:val="none" w:sz="0" w:space="0" w:color="auto"/>
        <w:bottom w:val="none" w:sz="0" w:space="0" w:color="auto"/>
        <w:right w:val="none" w:sz="0" w:space="0" w:color="auto"/>
      </w:divBdr>
    </w:div>
    <w:div w:id="1581863787">
      <w:bodyDiv w:val="1"/>
      <w:marLeft w:val="0"/>
      <w:marRight w:val="0"/>
      <w:marTop w:val="0"/>
      <w:marBottom w:val="0"/>
      <w:divBdr>
        <w:top w:val="none" w:sz="0" w:space="0" w:color="auto"/>
        <w:left w:val="none" w:sz="0" w:space="0" w:color="auto"/>
        <w:bottom w:val="none" w:sz="0" w:space="0" w:color="auto"/>
        <w:right w:val="none" w:sz="0" w:space="0" w:color="auto"/>
      </w:divBdr>
      <w:divsChild>
        <w:div w:id="1004360138">
          <w:marLeft w:val="0"/>
          <w:marRight w:val="0"/>
          <w:marTop w:val="0"/>
          <w:marBottom w:val="0"/>
          <w:divBdr>
            <w:top w:val="none" w:sz="0" w:space="0" w:color="auto"/>
            <w:left w:val="none" w:sz="0" w:space="0" w:color="auto"/>
            <w:bottom w:val="none" w:sz="0" w:space="0" w:color="auto"/>
            <w:right w:val="none" w:sz="0" w:space="0" w:color="auto"/>
          </w:divBdr>
          <w:divsChild>
            <w:div w:id="58210313">
              <w:marLeft w:val="0"/>
              <w:marRight w:val="0"/>
              <w:marTop w:val="0"/>
              <w:marBottom w:val="0"/>
              <w:divBdr>
                <w:top w:val="none" w:sz="0" w:space="0" w:color="auto"/>
                <w:left w:val="none" w:sz="0" w:space="0" w:color="auto"/>
                <w:bottom w:val="none" w:sz="0" w:space="0" w:color="auto"/>
                <w:right w:val="none" w:sz="0" w:space="0" w:color="auto"/>
              </w:divBdr>
            </w:div>
          </w:divsChild>
        </w:div>
        <w:div w:id="620065605">
          <w:marLeft w:val="0"/>
          <w:marRight w:val="0"/>
          <w:marTop w:val="0"/>
          <w:marBottom w:val="0"/>
          <w:divBdr>
            <w:top w:val="none" w:sz="0" w:space="0" w:color="auto"/>
            <w:left w:val="none" w:sz="0" w:space="0" w:color="auto"/>
            <w:bottom w:val="none" w:sz="0" w:space="0" w:color="auto"/>
            <w:right w:val="none" w:sz="0" w:space="0" w:color="auto"/>
          </w:divBdr>
          <w:divsChild>
            <w:div w:id="153468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mplicoconsulting.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A2DC9-146B-42FA-9C83-4807D6C7A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1012</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Nikita Parvadiya</dc:creator>
  <cp:keywords/>
  <dc:description/>
  <cp:lastModifiedBy>Nikita Parvadiya</cp:lastModifiedBy>
  <cp:revision>15</cp:revision>
  <cp:lastPrinted>2026-01-20T11:44:00Z</cp:lastPrinted>
  <dcterms:created xsi:type="dcterms:W3CDTF">2026-01-20T10:58:00Z</dcterms:created>
  <dcterms:modified xsi:type="dcterms:W3CDTF">2026-03-19T10:09:00Z</dcterms:modified>
</cp:coreProperties>
</file>