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1D5" w:rsidRDefault="006265D2">
      <w:pPr>
        <w:jc w:val="right"/>
      </w:pPr>
      <w:r>
        <w:rPr>
          <w:b/>
          <w:color w:val="7F8C8D"/>
          <w:sz w:val="17"/>
        </w:rPr>
        <w:t>COMPLICO CONSULTING GMBH  |  PRODUCT COMPLIANCE</w:t>
      </w:r>
    </w:p>
    <w:p w:rsidR="00FD11D5" w:rsidRDefault="006265D2">
      <w:pPr>
        <w:spacing w:after="40"/>
      </w:pPr>
      <w:r>
        <w:rPr>
          <w:b/>
          <w:color w:val="1B365D"/>
          <w:sz w:val="44"/>
        </w:rPr>
        <w:t>Risk Assessment Report Template</w:t>
      </w:r>
    </w:p>
    <w:p w:rsidR="00FD11D5" w:rsidRDefault="006265D2">
      <w:pPr>
        <w:spacing w:after="360"/>
      </w:pPr>
      <w:r>
        <w:rPr>
          <w:i/>
          <w:color w:val="555555"/>
          <w:sz w:val="24"/>
        </w:rPr>
        <w:t>In accordance with the General Product Safety Regulation (EU) 2023/988 (GPSR)</w:t>
      </w:r>
    </w:p>
    <w:p w:rsidR="00FD11D5" w:rsidRDefault="006265D2">
      <w:r>
        <w:t xml:space="preserve">This framework has been structured by Complico Consulting GmbH to fulfill safety documentation </w:t>
      </w:r>
      <w:r>
        <w:t>obligations for non-CE marked consumer products entering the European Single Market.</w:t>
      </w:r>
    </w:p>
    <w:p w:rsidR="00FD11D5" w:rsidRDefault="006265D2">
      <w:pPr>
        <w:spacing w:before="280" w:after="120"/>
      </w:pPr>
      <w:r>
        <w:rPr>
          <w:b/>
          <w:color w:val="1B365D"/>
          <w:sz w:val="26"/>
        </w:rPr>
        <w:t>1. General Product &amp; Scope Identification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/>
      </w:tblPr>
      <w:tblGrid>
        <w:gridCol w:w="4968"/>
        <w:gridCol w:w="4968"/>
      </w:tblGrid>
      <w:tr w:rsidR="00FD11D5">
        <w:trPr>
          <w:jc w:val="center"/>
        </w:trPr>
        <w:tc>
          <w:tcPr>
            <w:tcW w:w="4968" w:type="dxa"/>
            <w:shd w:val="clear" w:color="auto" w:fill="F5F7F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</w:rPr>
              <w:t>Product Name / Category:</w:t>
            </w:r>
          </w:p>
        </w:tc>
        <w:tc>
          <w:tcPr>
            <w:tcW w:w="496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i/>
              </w:rPr>
              <w:t>[Insert Product Name or Category, e.g., Men's Casual Shirts]</w:t>
            </w:r>
          </w:p>
        </w:tc>
      </w:tr>
      <w:tr w:rsidR="00FD11D5">
        <w:trPr>
          <w:jc w:val="center"/>
        </w:trPr>
        <w:tc>
          <w:tcPr>
            <w:tcW w:w="4968" w:type="dxa"/>
            <w:shd w:val="clear" w:color="auto" w:fill="F5F7F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</w:rPr>
              <w:t>Part / Article Number / Range:</w:t>
            </w:r>
          </w:p>
        </w:tc>
        <w:tc>
          <w:tcPr>
            <w:tcW w:w="496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i/>
              </w:rPr>
              <w:t>[Insert Par</w:t>
            </w:r>
            <w:r>
              <w:rPr>
                <w:i/>
              </w:rPr>
              <w:t>t Number or Range of Products, e.g., SKU 1001-1050]</w:t>
            </w:r>
          </w:p>
        </w:tc>
      </w:tr>
      <w:tr w:rsidR="00FD11D5">
        <w:trPr>
          <w:jc w:val="center"/>
        </w:trPr>
        <w:tc>
          <w:tcPr>
            <w:tcW w:w="4968" w:type="dxa"/>
            <w:shd w:val="clear" w:color="auto" w:fill="F5F7F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</w:rPr>
              <w:t>Revision Date:</w:t>
            </w:r>
          </w:p>
        </w:tc>
        <w:tc>
          <w:tcPr>
            <w:tcW w:w="496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i/>
              </w:rPr>
              <w:t>[Insert Date]</w:t>
            </w:r>
          </w:p>
        </w:tc>
      </w:tr>
      <w:tr w:rsidR="00FD11D5">
        <w:trPr>
          <w:jc w:val="center"/>
        </w:trPr>
        <w:tc>
          <w:tcPr>
            <w:tcW w:w="4968" w:type="dxa"/>
            <w:shd w:val="clear" w:color="auto" w:fill="F5F7F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</w:rPr>
              <w:t>Target User Group:</w:t>
            </w:r>
          </w:p>
        </w:tc>
        <w:tc>
          <w:tcPr>
            <w:tcW w:w="496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i/>
              </w:rPr>
              <w:t>[Identify the intended user. Explicitly note vulnerable users like children or elderly]</w:t>
            </w:r>
          </w:p>
        </w:tc>
      </w:tr>
      <w:tr w:rsidR="00FD11D5">
        <w:trPr>
          <w:jc w:val="center"/>
        </w:trPr>
        <w:tc>
          <w:tcPr>
            <w:tcW w:w="4968" w:type="dxa"/>
            <w:shd w:val="clear" w:color="auto" w:fill="F5F7F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</w:rPr>
              <w:t>Intended Use &amp; Foreseeable Misuse:</w:t>
            </w:r>
          </w:p>
        </w:tc>
        <w:tc>
          <w:tcPr>
            <w:tcW w:w="496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i/>
              </w:rPr>
              <w:t xml:space="preserve">[Describe how it is intended </w:t>
            </w:r>
            <w:r>
              <w:rPr>
                <w:i/>
              </w:rPr>
              <w:t>to be used, and any known/common foreseeable misuse behaviors]</w:t>
            </w:r>
          </w:p>
        </w:tc>
      </w:tr>
    </w:tbl>
    <w:p w:rsidR="00FD11D5" w:rsidRDefault="006265D2">
      <w:pPr>
        <w:spacing w:before="280" w:after="120"/>
      </w:pPr>
      <w:r>
        <w:rPr>
          <w:b/>
          <w:color w:val="1B365D"/>
          <w:sz w:val="26"/>
        </w:rPr>
        <w:t>2. Safety Declaration</w:t>
      </w:r>
    </w:p>
    <w:p w:rsidR="00FD11D5" w:rsidRDefault="006265D2">
      <w:pPr>
        <w:ind w:left="288"/>
      </w:pPr>
      <w:r>
        <w:rPr>
          <w:b/>
        </w:rPr>
        <w:t>☐</w:t>
      </w:r>
      <w:r>
        <w:rPr>
          <w:b/>
        </w:rPr>
        <w:t xml:space="preserve">  Option A: Inherently Safe</w:t>
      </w:r>
      <w:r>
        <w:rPr>
          <w:b/>
        </w:rPr>
        <w:br/>
      </w:r>
      <w:r>
        <w:rPr>
          <w:sz w:val="20"/>
        </w:rPr>
        <w:t>This product or product category has been assessed and is considered inherently safe. No significant hazards exist under the conditions descr</w:t>
      </w:r>
      <w:r>
        <w:rPr>
          <w:sz w:val="20"/>
        </w:rPr>
        <w:t>ibed above. (The assessment is complete).</w:t>
      </w:r>
    </w:p>
    <w:p w:rsidR="00FD11D5" w:rsidRDefault="006265D2">
      <w:pPr>
        <w:ind w:left="288"/>
      </w:pPr>
      <w:r>
        <w:rPr>
          <w:b/>
        </w:rPr>
        <w:t>☐</w:t>
      </w:r>
      <w:r>
        <w:rPr>
          <w:b/>
        </w:rPr>
        <w:t xml:space="preserve">  Option B: Identified Risks Present</w:t>
      </w:r>
      <w:r>
        <w:rPr>
          <w:b/>
        </w:rPr>
        <w:br/>
      </w:r>
      <w:r>
        <w:rPr>
          <w:sz w:val="20"/>
        </w:rPr>
        <w:t>The following risks have been identified with this product or product category. (If this box is checked, complete the Section 3 Hazard Evaluation Matrix below).</w:t>
      </w:r>
    </w:p>
    <w:p w:rsidR="00C44CFD" w:rsidRDefault="00C44CFD">
      <w:pPr>
        <w:spacing w:before="280" w:after="120"/>
        <w:rPr>
          <w:b/>
          <w:color w:val="1B365D"/>
          <w:sz w:val="26"/>
        </w:rPr>
      </w:pPr>
    </w:p>
    <w:p w:rsidR="00C44CFD" w:rsidRDefault="00C44CFD">
      <w:pPr>
        <w:spacing w:before="280" w:after="120"/>
        <w:rPr>
          <w:b/>
          <w:color w:val="1B365D"/>
          <w:sz w:val="26"/>
        </w:rPr>
      </w:pPr>
    </w:p>
    <w:p w:rsidR="00C44CFD" w:rsidRDefault="00C44CFD">
      <w:pPr>
        <w:spacing w:before="280" w:after="120"/>
        <w:rPr>
          <w:b/>
          <w:color w:val="1B365D"/>
          <w:sz w:val="26"/>
        </w:rPr>
      </w:pPr>
    </w:p>
    <w:p w:rsidR="00C44CFD" w:rsidRDefault="00C44CFD">
      <w:pPr>
        <w:spacing w:before="280" w:after="120"/>
        <w:rPr>
          <w:b/>
          <w:color w:val="1B365D"/>
          <w:sz w:val="26"/>
        </w:rPr>
      </w:pPr>
    </w:p>
    <w:p w:rsidR="00C44CFD" w:rsidRDefault="00C44CFD">
      <w:pPr>
        <w:spacing w:before="280" w:after="120"/>
        <w:rPr>
          <w:b/>
          <w:color w:val="1B365D"/>
          <w:sz w:val="26"/>
        </w:rPr>
      </w:pPr>
    </w:p>
    <w:p w:rsidR="00FD11D5" w:rsidRDefault="006265D2">
      <w:pPr>
        <w:spacing w:before="280" w:after="120"/>
      </w:pPr>
      <w:r>
        <w:rPr>
          <w:b/>
          <w:color w:val="1B365D"/>
          <w:sz w:val="26"/>
        </w:rPr>
        <w:lastRenderedPageBreak/>
        <w:t>3. Hazard Ident</w:t>
      </w:r>
      <w:r>
        <w:rPr>
          <w:b/>
          <w:color w:val="1B365D"/>
          <w:sz w:val="26"/>
        </w:rPr>
        <w:t>ification &amp; Lifecycle Risk Evaluation Matrix</w:t>
      </w:r>
    </w:p>
    <w:p w:rsidR="00FD11D5" w:rsidRDefault="006265D2">
      <w:r>
        <w:rPr>
          <w:i/>
          <w:sz w:val="19"/>
        </w:rPr>
        <w:t>Assess risks at every stage of the product lifecycle, including: assembly, operational use, cleaning/maintenance, and disposal.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/>
      </w:tblPr>
      <w:tblGrid>
        <w:gridCol w:w="994"/>
        <w:gridCol w:w="994"/>
        <w:gridCol w:w="994"/>
        <w:gridCol w:w="994"/>
        <w:gridCol w:w="994"/>
        <w:gridCol w:w="994"/>
        <w:gridCol w:w="994"/>
        <w:gridCol w:w="1039"/>
        <w:gridCol w:w="994"/>
        <w:gridCol w:w="994"/>
      </w:tblGrid>
      <w:tr w:rsidR="00FD11D5">
        <w:trPr>
          <w:jc w:val="center"/>
        </w:trPr>
        <w:tc>
          <w:tcPr>
            <w:tcW w:w="994" w:type="dxa"/>
            <w:shd w:val="clear" w:color="auto" w:fill="1B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6265D2">
            <w:pPr>
              <w:jc w:val="center"/>
            </w:pPr>
            <w:r>
              <w:rPr>
                <w:b/>
                <w:color w:val="FFFFFF"/>
                <w:sz w:val="17"/>
              </w:rPr>
              <w:t>Phase</w:t>
            </w:r>
          </w:p>
        </w:tc>
        <w:tc>
          <w:tcPr>
            <w:tcW w:w="994" w:type="dxa"/>
            <w:shd w:val="clear" w:color="auto" w:fill="1B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6265D2">
            <w:pPr>
              <w:jc w:val="center"/>
            </w:pPr>
            <w:r>
              <w:rPr>
                <w:b/>
                <w:color w:val="FFFFFF"/>
                <w:sz w:val="17"/>
              </w:rPr>
              <w:t>Hazard Group</w:t>
            </w:r>
          </w:p>
        </w:tc>
        <w:tc>
          <w:tcPr>
            <w:tcW w:w="994" w:type="dxa"/>
            <w:shd w:val="clear" w:color="auto" w:fill="1B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6265D2">
            <w:pPr>
              <w:jc w:val="center"/>
            </w:pPr>
            <w:r>
              <w:rPr>
                <w:b/>
                <w:color w:val="FFFFFF"/>
                <w:sz w:val="17"/>
              </w:rPr>
              <w:t>Hazard Property</w:t>
            </w:r>
          </w:p>
        </w:tc>
        <w:tc>
          <w:tcPr>
            <w:tcW w:w="994" w:type="dxa"/>
            <w:shd w:val="clear" w:color="auto" w:fill="1B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6265D2">
            <w:pPr>
              <w:jc w:val="center"/>
            </w:pPr>
            <w:r>
              <w:rPr>
                <w:b/>
                <w:color w:val="FFFFFF"/>
                <w:sz w:val="17"/>
              </w:rPr>
              <w:t>Exposed Person</w:t>
            </w:r>
          </w:p>
        </w:tc>
        <w:tc>
          <w:tcPr>
            <w:tcW w:w="994" w:type="dxa"/>
            <w:shd w:val="clear" w:color="auto" w:fill="1B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6265D2">
            <w:pPr>
              <w:jc w:val="center"/>
            </w:pPr>
            <w:r>
              <w:rPr>
                <w:b/>
                <w:color w:val="FFFFFF"/>
                <w:sz w:val="17"/>
              </w:rPr>
              <w:t>Injury Scenario</w:t>
            </w:r>
          </w:p>
        </w:tc>
        <w:tc>
          <w:tcPr>
            <w:tcW w:w="994" w:type="dxa"/>
            <w:shd w:val="clear" w:color="auto" w:fill="1B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6265D2">
            <w:pPr>
              <w:jc w:val="center"/>
            </w:pPr>
            <w:r>
              <w:rPr>
                <w:b/>
                <w:color w:val="FFFFFF"/>
                <w:sz w:val="17"/>
              </w:rPr>
              <w:t>Existing Measures</w:t>
            </w:r>
          </w:p>
        </w:tc>
        <w:tc>
          <w:tcPr>
            <w:tcW w:w="994" w:type="dxa"/>
            <w:shd w:val="clear" w:color="auto" w:fill="1B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6265D2">
            <w:pPr>
              <w:jc w:val="center"/>
            </w:pPr>
            <w:r>
              <w:rPr>
                <w:b/>
                <w:color w:val="FFFFFF"/>
                <w:sz w:val="17"/>
              </w:rPr>
              <w:t>Severity</w:t>
            </w:r>
          </w:p>
        </w:tc>
        <w:tc>
          <w:tcPr>
            <w:tcW w:w="994" w:type="dxa"/>
            <w:shd w:val="clear" w:color="auto" w:fill="1B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6265D2">
            <w:pPr>
              <w:jc w:val="center"/>
            </w:pPr>
            <w:r>
              <w:rPr>
                <w:b/>
                <w:color w:val="FFFFFF"/>
                <w:sz w:val="17"/>
              </w:rPr>
              <w:t>Probability</w:t>
            </w:r>
          </w:p>
        </w:tc>
        <w:tc>
          <w:tcPr>
            <w:tcW w:w="994" w:type="dxa"/>
            <w:shd w:val="clear" w:color="auto" w:fill="1B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6265D2">
            <w:pPr>
              <w:jc w:val="center"/>
            </w:pPr>
            <w:r>
              <w:rPr>
                <w:b/>
                <w:color w:val="FFFFFF"/>
                <w:sz w:val="17"/>
              </w:rPr>
              <w:t>Resulting Risk</w:t>
            </w:r>
          </w:p>
        </w:tc>
        <w:tc>
          <w:tcPr>
            <w:tcW w:w="994" w:type="dxa"/>
            <w:shd w:val="clear" w:color="auto" w:fill="1B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6265D2">
            <w:pPr>
              <w:jc w:val="center"/>
            </w:pPr>
            <w:r>
              <w:rPr>
                <w:b/>
                <w:color w:val="FFFFFF"/>
                <w:sz w:val="17"/>
              </w:rPr>
              <w:t>Risk Reduction Measure</w:t>
            </w:r>
          </w:p>
        </w:tc>
      </w:tr>
      <w:tr w:rsidR="006265D2">
        <w:trPr>
          <w:jc w:val="center"/>
        </w:trPr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</w:tr>
      <w:tr w:rsidR="006265D2">
        <w:trPr>
          <w:jc w:val="center"/>
        </w:trPr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65D2" w:rsidRDefault="006265D2"/>
        </w:tc>
      </w:tr>
      <w:tr w:rsidR="00FD11D5">
        <w:trPr>
          <w:jc w:val="center"/>
        </w:trPr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</w:tr>
      <w:tr w:rsidR="00FD11D5">
        <w:trPr>
          <w:jc w:val="center"/>
        </w:trPr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</w:tr>
      <w:tr w:rsidR="00FD11D5">
        <w:trPr>
          <w:jc w:val="center"/>
        </w:trPr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  <w:tc>
          <w:tcPr>
            <w:tcW w:w="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11D5" w:rsidRDefault="00FD11D5"/>
        </w:tc>
      </w:tr>
    </w:tbl>
    <w:p w:rsidR="00FD11D5" w:rsidRDefault="006265D2">
      <w:pPr>
        <w:spacing w:before="280" w:after="120"/>
      </w:pPr>
      <w:r>
        <w:rPr>
          <w:b/>
          <w:color w:val="1B365D"/>
          <w:sz w:val="26"/>
        </w:rPr>
        <w:t>4. Risk Assessment Methodology &amp; Matrix Reference Keys</w:t>
      </w:r>
    </w:p>
    <w:p w:rsidR="00FD11D5" w:rsidRDefault="006265D2">
      <w:r>
        <w:t xml:space="preserve">Determine the overall Resulting Risk level by combining the Severity of Harm and the Probability of </w:t>
      </w:r>
      <w:r>
        <w:t>Occurrence as defined by EU decision standards.</w:t>
      </w:r>
    </w:p>
    <w:p w:rsidR="00FD11D5" w:rsidRDefault="006265D2">
      <w:r>
        <w:rPr>
          <w:b/>
        </w:rPr>
        <w:t>Severity of Harm:</w:t>
      </w:r>
      <w:r>
        <w:rPr>
          <w:b/>
        </w:rPr>
        <w:br/>
        <w:t xml:space="preserve">  • Low: </w:t>
      </w:r>
      <w:r>
        <w:t>Minor injury or minor operational inconvenience.</w:t>
      </w:r>
      <w:r>
        <w:br/>
      </w:r>
      <w:r>
        <w:rPr>
          <w:b/>
        </w:rPr>
        <w:t xml:space="preserve">  • Medium: </w:t>
      </w:r>
      <w:r>
        <w:t>Serious but non-permanent injury.</w:t>
      </w:r>
      <w:r>
        <w:br/>
      </w:r>
      <w:r>
        <w:rPr>
          <w:b/>
        </w:rPr>
        <w:t xml:space="preserve">  • High: </w:t>
      </w:r>
      <w:r>
        <w:t>Permanent injury, long-term health deficit, or fatal outcome.</w:t>
      </w:r>
      <w:r>
        <w:br/>
      </w:r>
      <w:r>
        <w:br/>
      </w:r>
      <w:r>
        <w:rPr>
          <w:b/>
        </w:rPr>
        <w:t>Probability o</w:t>
      </w:r>
      <w:r>
        <w:rPr>
          <w:b/>
        </w:rPr>
        <w:t>f Occurrence:</w:t>
      </w:r>
      <w:r>
        <w:rPr>
          <w:b/>
        </w:rPr>
        <w:br/>
        <w:t xml:space="preserve">  • Low: </w:t>
      </w:r>
      <w:r>
        <w:t>Rare occurrence or highly unexpected scenario.</w:t>
      </w:r>
      <w:r>
        <w:br/>
      </w:r>
      <w:r>
        <w:rPr>
          <w:b/>
        </w:rPr>
        <w:t xml:space="preserve">  • Medium: </w:t>
      </w:r>
      <w:r>
        <w:t>Happens occasionally within the product life cycle.</w:t>
      </w:r>
      <w:r>
        <w:br/>
      </w:r>
      <w:r>
        <w:rPr>
          <w:b/>
        </w:rPr>
        <w:t xml:space="preserve">  • High: </w:t>
      </w:r>
      <w:r>
        <w:t>Likely to happen frequently or repeatedly.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/>
      </w:tblPr>
      <w:tblGrid>
        <w:gridCol w:w="2484"/>
        <w:gridCol w:w="2484"/>
        <w:gridCol w:w="2484"/>
        <w:gridCol w:w="2484"/>
      </w:tblGrid>
      <w:tr w:rsidR="00FD11D5">
        <w:trPr>
          <w:jc w:val="center"/>
        </w:trPr>
        <w:tc>
          <w:tcPr>
            <w:tcW w:w="2484" w:type="dxa"/>
            <w:shd w:val="clear" w:color="auto" w:fill="EAECE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</w:rPr>
              <w:t>Severity \ Probability</w:t>
            </w:r>
          </w:p>
        </w:tc>
        <w:tc>
          <w:tcPr>
            <w:tcW w:w="2484" w:type="dxa"/>
            <w:shd w:val="clear" w:color="auto" w:fill="EAECE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</w:rPr>
              <w:t>Probability: Low</w:t>
            </w:r>
          </w:p>
        </w:tc>
        <w:tc>
          <w:tcPr>
            <w:tcW w:w="2484" w:type="dxa"/>
            <w:shd w:val="clear" w:color="auto" w:fill="EAECE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</w:rPr>
              <w:t>Probability: Medium</w:t>
            </w:r>
          </w:p>
        </w:tc>
        <w:tc>
          <w:tcPr>
            <w:tcW w:w="2484" w:type="dxa"/>
            <w:shd w:val="clear" w:color="auto" w:fill="EAECE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</w:rPr>
              <w:t>Probability: High</w:t>
            </w:r>
          </w:p>
        </w:tc>
      </w:tr>
      <w:tr w:rsidR="00FD11D5">
        <w:trPr>
          <w:jc w:val="center"/>
        </w:trPr>
        <w:tc>
          <w:tcPr>
            <w:tcW w:w="2484" w:type="dxa"/>
            <w:shd w:val="clear" w:color="auto" w:fill="F5F7F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</w:rPr>
              <w:t>Severity: Low</w:t>
            </w:r>
          </w:p>
        </w:tc>
        <w:tc>
          <w:tcPr>
            <w:tcW w:w="2484" w:type="dxa"/>
            <w:shd w:val="clear" w:color="auto" w:fill="D4EFD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color w:val="1E8449"/>
              </w:rPr>
              <w:t>Low Risk</w:t>
            </w:r>
          </w:p>
        </w:tc>
        <w:tc>
          <w:tcPr>
            <w:tcW w:w="2484" w:type="dxa"/>
            <w:shd w:val="clear" w:color="auto" w:fill="D4EFD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color w:val="1E8449"/>
              </w:rPr>
              <w:t>Low Risk</w:t>
            </w:r>
          </w:p>
        </w:tc>
        <w:tc>
          <w:tcPr>
            <w:tcW w:w="2484" w:type="dxa"/>
            <w:shd w:val="clear" w:color="auto" w:fill="FCF3C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  <w:color w:val="B7950B"/>
              </w:rPr>
              <w:t>Medium Risk</w:t>
            </w:r>
          </w:p>
        </w:tc>
      </w:tr>
      <w:tr w:rsidR="00FD11D5">
        <w:trPr>
          <w:jc w:val="center"/>
        </w:trPr>
        <w:tc>
          <w:tcPr>
            <w:tcW w:w="2484" w:type="dxa"/>
            <w:shd w:val="clear" w:color="auto" w:fill="F5F7F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</w:rPr>
              <w:t>Severity: Medium</w:t>
            </w:r>
          </w:p>
        </w:tc>
        <w:tc>
          <w:tcPr>
            <w:tcW w:w="2484" w:type="dxa"/>
            <w:shd w:val="clear" w:color="auto" w:fill="D4EFD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color w:val="1E8449"/>
              </w:rPr>
              <w:t>Low Risk</w:t>
            </w:r>
          </w:p>
        </w:tc>
        <w:tc>
          <w:tcPr>
            <w:tcW w:w="2484" w:type="dxa"/>
            <w:shd w:val="clear" w:color="auto" w:fill="FCF3C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  <w:color w:val="B7950B"/>
              </w:rPr>
              <w:t>Medium Risk</w:t>
            </w:r>
          </w:p>
        </w:tc>
        <w:tc>
          <w:tcPr>
            <w:tcW w:w="2484" w:type="dxa"/>
            <w:shd w:val="clear" w:color="auto" w:fill="FADBD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  <w:color w:val="922B21"/>
              </w:rPr>
              <w:t>High Risk</w:t>
            </w:r>
          </w:p>
        </w:tc>
      </w:tr>
      <w:tr w:rsidR="00FD11D5">
        <w:trPr>
          <w:jc w:val="center"/>
        </w:trPr>
        <w:tc>
          <w:tcPr>
            <w:tcW w:w="2484" w:type="dxa"/>
            <w:shd w:val="clear" w:color="auto" w:fill="F5F7F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</w:rPr>
              <w:t>Severity: High</w:t>
            </w:r>
          </w:p>
        </w:tc>
        <w:tc>
          <w:tcPr>
            <w:tcW w:w="2484" w:type="dxa"/>
            <w:shd w:val="clear" w:color="auto" w:fill="FCF3C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  <w:color w:val="B7950B"/>
              </w:rPr>
              <w:t>Medium Risk</w:t>
            </w:r>
          </w:p>
        </w:tc>
        <w:tc>
          <w:tcPr>
            <w:tcW w:w="2484" w:type="dxa"/>
            <w:shd w:val="clear" w:color="auto" w:fill="FADBD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  <w:color w:val="922B21"/>
              </w:rPr>
              <w:t>High Risk</w:t>
            </w:r>
          </w:p>
        </w:tc>
        <w:tc>
          <w:tcPr>
            <w:tcW w:w="2484" w:type="dxa"/>
            <w:shd w:val="clear" w:color="auto" w:fill="FADBD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D11D5" w:rsidRDefault="006265D2">
            <w:r>
              <w:rPr>
                <w:b/>
                <w:color w:val="922B21"/>
              </w:rPr>
              <w:t>High Risk</w:t>
            </w:r>
          </w:p>
        </w:tc>
      </w:tr>
    </w:tbl>
    <w:p w:rsidR="006265D2" w:rsidRDefault="006265D2" w:rsidP="006265D2">
      <w:pPr>
        <w:spacing w:before="160"/>
      </w:pPr>
      <w:r>
        <w:rPr>
          <w:b/>
        </w:rPr>
        <w:t xml:space="preserve">• Low Risk: </w:t>
      </w:r>
      <w:r>
        <w:t>Acceptable threshold; no additional design actions needed.</w:t>
      </w:r>
      <w:r>
        <w:br/>
      </w:r>
      <w:r>
        <w:rPr>
          <w:b/>
        </w:rPr>
        <w:t xml:space="preserve">• Medium Risk: </w:t>
      </w:r>
      <w:r>
        <w:t xml:space="preserve">Requires </w:t>
      </w:r>
      <w:r>
        <w:t>monitoring, instructions, or administrative controls.</w:t>
      </w:r>
      <w:r>
        <w:br/>
      </w:r>
      <w:r>
        <w:rPr>
          <w:b/>
        </w:rPr>
        <w:t xml:space="preserve">• High Risk: </w:t>
      </w:r>
      <w:r>
        <w:t>Unacceptable threshold; immediate risk reduction or product redesign required.</w:t>
      </w:r>
    </w:p>
    <w:p w:rsidR="00FD11D5" w:rsidRDefault="006265D2" w:rsidP="006265D2">
      <w:pPr>
        <w:spacing w:before="160"/>
      </w:pPr>
      <w:r>
        <w:rPr>
          <w:b/>
          <w:color w:val="1B365D"/>
          <w:sz w:val="26"/>
        </w:rPr>
        <w:lastRenderedPageBreak/>
        <w:t>5. Risk Mitigation &amp; Warning Directives</w:t>
      </w:r>
    </w:p>
    <w:p w:rsidR="00FD11D5" w:rsidRDefault="006265D2">
      <w:r>
        <w:t>Actions taken to eliminate or minimize risks (e.g., design changes, st</w:t>
      </w:r>
      <w:r>
        <w:t>ructural modifications, or added physical safety barriers):</w:t>
      </w:r>
      <w:r>
        <w:br/>
      </w:r>
      <w:r>
        <w:rPr>
          <w:i/>
        </w:rPr>
        <w:t>[Insert design adjustments here]</w:t>
      </w:r>
      <w:r>
        <w:rPr>
          <w:i/>
        </w:rPr>
        <w:br/>
      </w:r>
      <w:r>
        <w:rPr>
          <w:i/>
        </w:rPr>
        <w:br/>
      </w:r>
      <w:r>
        <w:t>Residual Risk Communication &amp; User Warnings (e.g., clear instructional labels, warning symbols, or target user guidance for vulnerable groups):</w:t>
      </w:r>
      <w:r>
        <w:br/>
      </w:r>
      <w:r>
        <w:rPr>
          <w:i/>
        </w:rPr>
        <w:t>[Insert warning la</w:t>
      </w:r>
      <w:r>
        <w:rPr>
          <w:i/>
        </w:rPr>
        <w:t>bel strategies here]</w:t>
      </w:r>
    </w:p>
    <w:p w:rsidR="00FD11D5" w:rsidRDefault="006265D2">
      <w:pPr>
        <w:spacing w:before="280" w:after="120"/>
      </w:pPr>
      <w:r>
        <w:rPr>
          <w:b/>
          <w:color w:val="1B365D"/>
          <w:sz w:val="26"/>
        </w:rPr>
        <w:t>6. Compliance Framework &amp; Standards</w:t>
      </w:r>
    </w:p>
    <w:p w:rsidR="00FD11D5" w:rsidRDefault="006265D2">
      <w:r>
        <w:t>This document complies with the uniform risk assessment methodologies established under:</w:t>
      </w:r>
      <w:r>
        <w:br/>
      </w:r>
      <w:r>
        <w:rPr>
          <w:b/>
        </w:rPr>
        <w:t>1. General Product Safety Regulation (EU) 2023/988 (GPSR)</w:t>
      </w:r>
      <w:r>
        <w:rPr>
          <w:b/>
        </w:rPr>
        <w:br/>
        <w:t xml:space="preserve">2. Commission Implementing Decision (EU) 2019/417: </w:t>
      </w:r>
      <w:r>
        <w:t>H</w:t>
      </w:r>
      <w:r>
        <w:t>armonization of consumer product risk evaluation standards.</w:t>
      </w:r>
      <w:r>
        <w:br/>
      </w:r>
      <w:r>
        <w:rPr>
          <w:b/>
        </w:rPr>
        <w:t xml:space="preserve">3. ISO 10377:2013 (Consumer Product Safety – Guidelines for Suppliers): </w:t>
      </w:r>
      <w:r>
        <w:t>Practical management of safety risks across the complete product life cycle.</w:t>
      </w:r>
      <w:r>
        <w:br/>
      </w:r>
      <w:r>
        <w:br/>
      </w:r>
      <w:r>
        <w:rPr>
          <w:b/>
        </w:rPr>
        <w:t xml:space="preserve">Continuous Post-Market Monitoring Notice: </w:t>
      </w:r>
      <w:r>
        <w:t>As m</w:t>
      </w:r>
      <w:r>
        <w:t>andated by regulatory bodies, this assessment must be periodically re-verified (minimum annually or after substantial engineering variants) using real-world consumer complaints, distributor feedback, and active incident reports.</w:t>
      </w:r>
    </w:p>
    <w:p w:rsidR="00C44CFD" w:rsidRDefault="006265D2">
      <w:pPr>
        <w:spacing w:before="600"/>
        <w:rPr>
          <w:b/>
        </w:rPr>
      </w:pPr>
      <w:r>
        <w:rPr>
          <w:b/>
        </w:rPr>
        <w:t xml:space="preserve">Prepared by: </w:t>
      </w:r>
      <w:r w:rsidR="00C44CFD">
        <w:rPr>
          <w:b/>
        </w:rPr>
        <w:t>Company Name</w:t>
      </w:r>
    </w:p>
    <w:p w:rsidR="00FD11D5" w:rsidRDefault="006265D2">
      <w:pPr>
        <w:spacing w:before="600"/>
      </w:pPr>
      <w:r>
        <w:rPr>
          <w:b/>
        </w:rPr>
        <w:br/>
      </w:r>
      <w:r>
        <w:rPr>
          <w:b/>
        </w:rPr>
        <w:br/>
      </w:r>
      <w:r>
        <w:t>Authorized Inspector Signature: _______________________      Date: _______________</w:t>
      </w:r>
    </w:p>
    <w:sectPr w:rsidR="00FD11D5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6265D2"/>
    <w:rsid w:val="00AA1D8D"/>
    <w:rsid w:val="00B47730"/>
    <w:rsid w:val="00C44CFD"/>
    <w:rsid w:val="00CB0664"/>
    <w:rsid w:val="00FC693F"/>
    <w:rsid w:val="00FD1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FD64C1-5EFC-4220-85E0-C305439DC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Nikita Parvadiya</cp:lastModifiedBy>
  <cp:revision>3</cp:revision>
  <dcterms:created xsi:type="dcterms:W3CDTF">2013-12-23T23:15:00Z</dcterms:created>
  <dcterms:modified xsi:type="dcterms:W3CDTF">2026-07-09T10:21:00Z</dcterms:modified>
  <cp:category/>
</cp:coreProperties>
</file>